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CEA" w:rsidRDefault="0084353B" w:rsidP="00576F49">
      <w:pPr>
        <w:pStyle w:val="Zkladntext"/>
        <w:rPr>
          <w:rFonts w:ascii="Calibri" w:hAnsi="Calibri"/>
          <w:b/>
          <w:sz w:val="56"/>
          <w:szCs w:val="56"/>
        </w:rPr>
      </w:pPr>
      <w:r>
        <w:rPr>
          <w:rFonts w:ascii="Calibri" w:hAnsi="Calibri"/>
          <w:b/>
          <w:noProof/>
          <w:sz w:val="56"/>
          <w:szCs w:val="56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33655</wp:posOffset>
            </wp:positionV>
            <wp:extent cx="5715000" cy="819150"/>
            <wp:effectExtent l="0" t="0" r="0" b="0"/>
            <wp:wrapNone/>
            <wp:docPr id="21" name="obrázek 21" descr="hlavička čms dobrá barva pro tisk 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lavička čms dobrá barva pro tisk 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2AA4" w:rsidRDefault="00271087" w:rsidP="00271087">
      <w:pPr>
        <w:pStyle w:val="Zkladntext"/>
        <w:rPr>
          <w:rFonts w:ascii="Calibri" w:hAnsi="Calibri"/>
          <w:b/>
          <w:sz w:val="56"/>
          <w:szCs w:val="56"/>
        </w:rPr>
      </w:pPr>
      <w:r>
        <w:rPr>
          <w:rFonts w:ascii="Calibri" w:hAnsi="Calibri"/>
          <w:b/>
          <w:sz w:val="56"/>
          <w:szCs w:val="56"/>
        </w:rPr>
        <w:t xml:space="preserve">   </w:t>
      </w:r>
    </w:p>
    <w:p w:rsidR="00492AA4" w:rsidRDefault="00492AA4" w:rsidP="00271087">
      <w:pPr>
        <w:pStyle w:val="Zkladntext"/>
        <w:rPr>
          <w:rFonts w:ascii="Calibri" w:hAnsi="Calibri"/>
          <w:b/>
          <w:sz w:val="56"/>
          <w:szCs w:val="56"/>
        </w:rPr>
      </w:pPr>
    </w:p>
    <w:p w:rsidR="00D840C6" w:rsidRPr="00063613" w:rsidRDefault="00271087" w:rsidP="00271087">
      <w:pPr>
        <w:pStyle w:val="Zkladntext"/>
        <w:rPr>
          <w:rFonts w:ascii="Calibri" w:hAnsi="Calibri"/>
          <w:b/>
          <w:sz w:val="56"/>
          <w:szCs w:val="56"/>
        </w:rPr>
      </w:pPr>
      <w:r>
        <w:rPr>
          <w:rFonts w:ascii="Calibri" w:hAnsi="Calibri"/>
          <w:b/>
          <w:sz w:val="56"/>
          <w:szCs w:val="56"/>
        </w:rPr>
        <w:t xml:space="preserve">    </w:t>
      </w:r>
      <w:r w:rsidR="004F3B8D" w:rsidRPr="00063613">
        <w:rPr>
          <w:rFonts w:ascii="Calibri" w:hAnsi="Calibri"/>
          <w:b/>
          <w:sz w:val="56"/>
          <w:szCs w:val="56"/>
        </w:rPr>
        <w:t>ČEŠI</w:t>
      </w:r>
      <w:r w:rsidR="00D840C6" w:rsidRPr="00063613">
        <w:rPr>
          <w:rFonts w:ascii="Calibri" w:hAnsi="Calibri"/>
          <w:b/>
          <w:sz w:val="56"/>
          <w:szCs w:val="56"/>
        </w:rPr>
        <w:t xml:space="preserve"> A REKLAMA</w:t>
      </w:r>
      <w:r w:rsidR="009D4EAE">
        <w:rPr>
          <w:rFonts w:ascii="Calibri" w:hAnsi="Calibri"/>
          <w:b/>
          <w:sz w:val="56"/>
          <w:szCs w:val="56"/>
        </w:rPr>
        <w:t xml:space="preserve"> 2015</w:t>
      </w:r>
    </w:p>
    <w:p w:rsidR="00175CEA" w:rsidRPr="00175CEA" w:rsidRDefault="00175CEA" w:rsidP="00175CEA">
      <w:pPr>
        <w:pStyle w:val="Zkladntext"/>
        <w:jc w:val="center"/>
        <w:rPr>
          <w:rFonts w:ascii="Calibri" w:hAnsi="Calibri"/>
          <w:b/>
          <w:i/>
          <w:color w:val="1F497D"/>
          <w:sz w:val="40"/>
          <w:szCs w:val="40"/>
        </w:rPr>
      </w:pPr>
    </w:p>
    <w:p w:rsidR="00D840C6" w:rsidRDefault="00D840C6" w:rsidP="00D840C6">
      <w:pPr>
        <w:rPr>
          <w:rFonts w:ascii="Calibri" w:hAnsi="Calibri"/>
          <w:i/>
        </w:rPr>
      </w:pPr>
      <w:r w:rsidRPr="00145328">
        <w:rPr>
          <w:rFonts w:ascii="Calibri" w:hAnsi="Calibri"/>
          <w:i/>
        </w:rPr>
        <w:t xml:space="preserve">Tisková </w:t>
      </w:r>
      <w:r w:rsidR="009D4EAE">
        <w:rPr>
          <w:rFonts w:ascii="Calibri" w:hAnsi="Calibri"/>
          <w:i/>
        </w:rPr>
        <w:t>informace obsahuje výsledky</w:t>
      </w:r>
      <w:r w:rsidRPr="00145328">
        <w:rPr>
          <w:rFonts w:ascii="Calibri" w:hAnsi="Calibri"/>
          <w:i/>
        </w:rPr>
        <w:t xml:space="preserve"> z pravidelného výzkumu </w:t>
      </w:r>
      <w:r w:rsidRPr="00145328">
        <w:rPr>
          <w:rFonts w:ascii="Calibri" w:hAnsi="Calibri"/>
          <w:b/>
          <w:bCs/>
          <w:i/>
        </w:rPr>
        <w:t>Postoje české veřejnosti k reklamě</w:t>
      </w:r>
      <w:r w:rsidR="009D4EAE">
        <w:rPr>
          <w:rFonts w:ascii="Calibri" w:hAnsi="Calibri"/>
          <w:i/>
        </w:rPr>
        <w:t>. Výzkum navazuje na</w:t>
      </w:r>
      <w:r w:rsidRPr="00145328">
        <w:rPr>
          <w:rFonts w:ascii="Calibri" w:hAnsi="Calibri"/>
          <w:i/>
        </w:rPr>
        <w:t xml:space="preserve"> šetření, které od roku 1993 prováděla agentura </w:t>
      </w:r>
      <w:proofErr w:type="spellStart"/>
      <w:r w:rsidRPr="00145328">
        <w:rPr>
          <w:rFonts w:ascii="Calibri" w:hAnsi="Calibri"/>
          <w:i/>
        </w:rPr>
        <w:t>Marktest</w:t>
      </w:r>
      <w:proofErr w:type="spellEnd"/>
      <w:r w:rsidRPr="00145328">
        <w:rPr>
          <w:rFonts w:ascii="Calibri" w:hAnsi="Calibri"/>
          <w:i/>
        </w:rPr>
        <w:t>, a.s. a v</w:t>
      </w:r>
      <w:r w:rsidR="000F137B">
        <w:rPr>
          <w:rFonts w:ascii="Calibri" w:hAnsi="Calibri"/>
          <w:i/>
        </w:rPr>
        <w:t>e</w:t>
      </w:r>
      <w:r w:rsidRPr="00145328">
        <w:rPr>
          <w:rFonts w:ascii="Calibri" w:hAnsi="Calibri"/>
          <w:i/>
        </w:rPr>
        <w:t xml:space="preserve"> kterém pokračuje v posledních letech agentura </w:t>
      </w:r>
      <w:r w:rsidR="004F650D">
        <w:rPr>
          <w:rFonts w:ascii="Calibri" w:hAnsi="Calibri"/>
          <w:i/>
        </w:rPr>
        <w:t>ppm f</w:t>
      </w:r>
      <w:r w:rsidR="00AD4C43">
        <w:rPr>
          <w:rFonts w:ascii="Calibri" w:hAnsi="Calibri"/>
          <w:i/>
        </w:rPr>
        <w:t>actum</w:t>
      </w:r>
      <w:r w:rsidR="005D5C94">
        <w:rPr>
          <w:rFonts w:ascii="Calibri" w:hAnsi="Calibri"/>
          <w:i/>
        </w:rPr>
        <w:t xml:space="preserve"> research</w:t>
      </w:r>
      <w:r w:rsidR="000F137B">
        <w:rPr>
          <w:rFonts w:ascii="Calibri" w:hAnsi="Calibri"/>
          <w:i/>
        </w:rPr>
        <w:t xml:space="preserve">. </w:t>
      </w:r>
      <w:r w:rsidRPr="00145328">
        <w:rPr>
          <w:rFonts w:ascii="Calibri" w:hAnsi="Calibri"/>
          <w:i/>
        </w:rPr>
        <w:t>Dop</w:t>
      </w:r>
      <w:r w:rsidR="000F137B">
        <w:rPr>
          <w:rFonts w:ascii="Calibri" w:hAnsi="Calibri"/>
          <w:i/>
        </w:rPr>
        <w:t xml:space="preserve">osud bylo realizováno </w:t>
      </w:r>
      <w:r w:rsidR="009D4EAE">
        <w:rPr>
          <w:rFonts w:ascii="Calibri" w:hAnsi="Calibri"/>
          <w:i/>
        </w:rPr>
        <w:t xml:space="preserve">celkem 32 </w:t>
      </w:r>
      <w:r w:rsidRPr="00145328">
        <w:rPr>
          <w:rFonts w:ascii="Calibri" w:hAnsi="Calibri"/>
          <w:i/>
        </w:rPr>
        <w:t xml:space="preserve">reprezentativních výzkumů, jejichž výsledky tvoří ucelenou vývojovou řadu. </w:t>
      </w:r>
      <w:r w:rsidRPr="00145328">
        <w:rPr>
          <w:rFonts w:ascii="Calibri" w:hAnsi="Calibri"/>
          <w:bCs/>
          <w:i/>
        </w:rPr>
        <w:t>Poslední šetření proběhlo v lednu 20</w:t>
      </w:r>
      <w:r w:rsidR="00E958D3">
        <w:rPr>
          <w:rFonts w:ascii="Calibri" w:hAnsi="Calibri"/>
          <w:bCs/>
          <w:i/>
        </w:rPr>
        <w:t>1</w:t>
      </w:r>
      <w:r w:rsidR="009D4EAE">
        <w:rPr>
          <w:rFonts w:ascii="Calibri" w:hAnsi="Calibri"/>
          <w:bCs/>
          <w:i/>
        </w:rPr>
        <w:t>5</w:t>
      </w:r>
      <w:r w:rsidRPr="00145328">
        <w:rPr>
          <w:rFonts w:ascii="Calibri" w:hAnsi="Calibri"/>
          <w:b/>
          <w:bCs/>
          <w:i/>
        </w:rPr>
        <w:t xml:space="preserve"> </w:t>
      </w:r>
      <w:r w:rsidRPr="00145328">
        <w:rPr>
          <w:rFonts w:ascii="Calibri" w:hAnsi="Calibri"/>
          <w:i/>
        </w:rPr>
        <w:t>na reprezentativním vzorku obyvatel České republiky. Dotázáno bylo</w:t>
      </w:r>
      <w:r w:rsidR="00EA1824">
        <w:rPr>
          <w:rFonts w:ascii="Calibri" w:hAnsi="Calibri"/>
          <w:i/>
        </w:rPr>
        <w:t xml:space="preserve"> 1005</w:t>
      </w:r>
      <w:r w:rsidRPr="00145328">
        <w:rPr>
          <w:rFonts w:ascii="Calibri" w:hAnsi="Calibri"/>
          <w:i/>
        </w:rPr>
        <w:t xml:space="preserve"> osob ve věku nad 15 let.</w:t>
      </w:r>
    </w:p>
    <w:p w:rsidR="009D4EAE" w:rsidRPr="00145328" w:rsidRDefault="009D4EAE" w:rsidP="00D840C6">
      <w:pPr>
        <w:rPr>
          <w:rFonts w:ascii="Calibri" w:hAnsi="Calibri"/>
          <w:i/>
        </w:rPr>
      </w:pPr>
    </w:p>
    <w:p w:rsidR="00D840C6" w:rsidRDefault="009D4EAE" w:rsidP="00D840C6">
      <w:pPr>
        <w:rPr>
          <w:rFonts w:ascii="Calibri" w:hAnsi="Calibri"/>
          <w:b/>
          <w:i/>
        </w:rPr>
      </w:pPr>
      <w:r>
        <w:rPr>
          <w:rFonts w:ascii="Calibri" w:hAnsi="Calibri"/>
          <w:b/>
          <w:i/>
        </w:rPr>
        <w:t>Zadavateli výzkumu byla Česká marketingová společnost (ČMS)</w:t>
      </w:r>
      <w:r w:rsidR="000F137B">
        <w:rPr>
          <w:rFonts w:ascii="Calibri" w:hAnsi="Calibri"/>
          <w:b/>
          <w:i/>
        </w:rPr>
        <w:t>,</w:t>
      </w:r>
      <w:r>
        <w:rPr>
          <w:rFonts w:ascii="Calibri" w:hAnsi="Calibri"/>
          <w:b/>
          <w:i/>
        </w:rPr>
        <w:t xml:space="preserve"> POPAI a České</w:t>
      </w:r>
      <w:r w:rsidRPr="00145328">
        <w:rPr>
          <w:rFonts w:ascii="Calibri" w:hAnsi="Calibri"/>
          <w:b/>
          <w:i/>
        </w:rPr>
        <w:t xml:space="preserve"> sdruže</w:t>
      </w:r>
      <w:r>
        <w:rPr>
          <w:rFonts w:ascii="Calibri" w:hAnsi="Calibri"/>
          <w:b/>
          <w:i/>
        </w:rPr>
        <w:t>ní pro značkové výrobky (ČSZV). Šetření realizovala výzkumná</w:t>
      </w:r>
      <w:r w:rsidR="00D840C6" w:rsidRPr="00145328">
        <w:rPr>
          <w:rFonts w:ascii="Calibri" w:hAnsi="Calibri"/>
          <w:b/>
          <w:i/>
        </w:rPr>
        <w:t xml:space="preserve"> agentur</w:t>
      </w:r>
      <w:r>
        <w:rPr>
          <w:rFonts w:ascii="Calibri" w:hAnsi="Calibri"/>
          <w:b/>
          <w:i/>
        </w:rPr>
        <w:t xml:space="preserve">a </w:t>
      </w:r>
      <w:r w:rsidR="008A06DA">
        <w:rPr>
          <w:rFonts w:ascii="Calibri" w:hAnsi="Calibri"/>
          <w:b/>
          <w:i/>
        </w:rPr>
        <w:t>ppm factum</w:t>
      </w:r>
      <w:r w:rsidR="005D5C94">
        <w:rPr>
          <w:rFonts w:ascii="Calibri" w:hAnsi="Calibri"/>
          <w:b/>
          <w:i/>
        </w:rPr>
        <w:t xml:space="preserve"> research</w:t>
      </w:r>
      <w:r>
        <w:rPr>
          <w:rFonts w:ascii="Calibri" w:hAnsi="Calibri"/>
          <w:b/>
          <w:i/>
        </w:rPr>
        <w:t xml:space="preserve">. </w:t>
      </w:r>
    </w:p>
    <w:p w:rsidR="00D840C6" w:rsidRPr="00BA367B" w:rsidRDefault="00D840C6" w:rsidP="00D840C6">
      <w:pPr>
        <w:rPr>
          <w:rFonts w:ascii="Calibri" w:hAnsi="Calibri"/>
          <w:i/>
        </w:rPr>
      </w:pPr>
    </w:p>
    <w:p w:rsidR="00D840C6" w:rsidRPr="0021622C" w:rsidRDefault="00D11B0B" w:rsidP="00D840C6">
      <w:pPr>
        <w:rPr>
          <w:rFonts w:ascii="Calibri" w:hAnsi="Calibri"/>
          <w:b/>
          <w:color w:val="365F91"/>
          <w:sz w:val="28"/>
          <w:szCs w:val="28"/>
        </w:rPr>
      </w:pPr>
      <w:r w:rsidRPr="0021622C">
        <w:rPr>
          <w:rFonts w:ascii="Calibri" w:hAnsi="Calibri"/>
          <w:b/>
          <w:color w:val="365F91"/>
          <w:sz w:val="28"/>
          <w:szCs w:val="28"/>
        </w:rPr>
        <w:t xml:space="preserve">Na jaké otázky výzkum odpovídá </w:t>
      </w:r>
    </w:p>
    <w:p w:rsidR="00D840C6" w:rsidRPr="00BA367B" w:rsidRDefault="00D840C6" w:rsidP="00747288">
      <w:pPr>
        <w:pStyle w:val="Zkladntext"/>
        <w:jc w:val="left"/>
        <w:rPr>
          <w:rFonts w:ascii="Calibri" w:hAnsi="Calibri"/>
          <w:b/>
          <w:bCs/>
          <w:iCs/>
          <w:sz w:val="28"/>
          <w:szCs w:val="28"/>
        </w:rPr>
      </w:pPr>
    </w:p>
    <w:p w:rsidR="00D11B0B" w:rsidRPr="00957B32" w:rsidRDefault="00D11B0B" w:rsidP="00D11B0B">
      <w:pPr>
        <w:numPr>
          <w:ilvl w:val="0"/>
          <w:numId w:val="42"/>
        </w:numPr>
        <w:ind w:left="360" w:hanging="353"/>
        <w:rPr>
          <w:rFonts w:ascii="Calibri" w:eastAsia="SimSun" w:hAnsi="Calibri"/>
        </w:rPr>
      </w:pPr>
      <w:r w:rsidRPr="00957B32">
        <w:rPr>
          <w:rFonts w:ascii="Calibri" w:eastAsia="SimSun" w:hAnsi="Calibri"/>
        </w:rPr>
        <w:t>Jak nám pomáhá reklama při nákupním rozhodování?</w:t>
      </w:r>
    </w:p>
    <w:p w:rsidR="00D11B0B" w:rsidRPr="000F137B" w:rsidRDefault="00D11B0B" w:rsidP="002F4495">
      <w:pPr>
        <w:numPr>
          <w:ilvl w:val="0"/>
          <w:numId w:val="42"/>
        </w:numPr>
        <w:ind w:left="360" w:hanging="353"/>
        <w:rPr>
          <w:rFonts w:ascii="Calibri" w:eastAsia="SimSun" w:hAnsi="Calibri"/>
        </w:rPr>
      </w:pPr>
      <w:r w:rsidRPr="00957B32">
        <w:rPr>
          <w:rFonts w:ascii="Calibri" w:eastAsia="SimSun" w:hAnsi="Calibri"/>
        </w:rPr>
        <w:t>Řídíme se při nákupu reklamou a přiznáváme to?</w:t>
      </w:r>
      <w:r w:rsidR="002F4495" w:rsidRPr="00957B32">
        <w:rPr>
          <w:rFonts w:ascii="Calibri" w:eastAsia="SimSun" w:hAnsi="Calibri"/>
        </w:rPr>
        <w:t xml:space="preserve"> </w:t>
      </w:r>
      <w:r w:rsidR="000F137B">
        <w:rPr>
          <w:rFonts w:ascii="Calibri" w:eastAsia="SimSun" w:hAnsi="Calibri"/>
        </w:rPr>
        <w:t xml:space="preserve">Jak se vyvíjí „nákup na základě </w:t>
      </w:r>
      <w:r w:rsidRPr="000F137B">
        <w:rPr>
          <w:rFonts w:ascii="Calibri" w:eastAsia="SimSun" w:hAnsi="Calibri"/>
        </w:rPr>
        <w:t>reklamy“?</w:t>
      </w:r>
    </w:p>
    <w:p w:rsidR="00D11B0B" w:rsidRPr="00957B32" w:rsidRDefault="00D11B0B" w:rsidP="00D11B0B">
      <w:pPr>
        <w:numPr>
          <w:ilvl w:val="0"/>
          <w:numId w:val="42"/>
        </w:numPr>
        <w:ind w:left="360" w:hanging="353"/>
        <w:rPr>
          <w:rFonts w:ascii="Calibri" w:eastAsia="SimSun" w:hAnsi="Calibri"/>
        </w:rPr>
      </w:pPr>
      <w:r w:rsidRPr="00957B32">
        <w:rPr>
          <w:rFonts w:ascii="Calibri" w:eastAsia="SimSun" w:hAnsi="Calibri"/>
        </w:rPr>
        <w:t xml:space="preserve">Skutečně reklamu při nákupu využíváme?  Kdo ji hlavně využívá? </w:t>
      </w:r>
    </w:p>
    <w:p w:rsidR="00D11B0B" w:rsidRPr="00957B32" w:rsidRDefault="00D11B0B" w:rsidP="00D11B0B">
      <w:pPr>
        <w:numPr>
          <w:ilvl w:val="0"/>
          <w:numId w:val="42"/>
        </w:numPr>
        <w:ind w:left="360" w:hanging="353"/>
        <w:rPr>
          <w:rFonts w:ascii="Calibri" w:eastAsia="SimSun" w:hAnsi="Calibri"/>
        </w:rPr>
      </w:pPr>
      <w:r w:rsidRPr="00957B32">
        <w:rPr>
          <w:rFonts w:ascii="Calibri" w:eastAsia="SimSun" w:hAnsi="Calibri"/>
        </w:rPr>
        <w:t xml:space="preserve">Jaká reklama nám hlavně pomáhá při rozhodování o nákupu? </w:t>
      </w:r>
    </w:p>
    <w:p w:rsidR="002F4495" w:rsidRPr="00957B32" w:rsidRDefault="00D11B0B" w:rsidP="00D11B0B">
      <w:pPr>
        <w:numPr>
          <w:ilvl w:val="0"/>
          <w:numId w:val="42"/>
        </w:numPr>
        <w:ind w:left="360" w:hanging="353"/>
        <w:rPr>
          <w:rFonts w:ascii="Calibri" w:eastAsia="SimSun" w:hAnsi="Calibri"/>
        </w:rPr>
      </w:pPr>
      <w:r w:rsidRPr="00957B32">
        <w:rPr>
          <w:rFonts w:ascii="Calibri" w:eastAsia="SimSun" w:hAnsi="Calibri"/>
        </w:rPr>
        <w:t>Je místo prodeje stále tím „největším prostorem“ pro uplatnění reklamy?</w:t>
      </w:r>
      <w:r w:rsidR="002F4495" w:rsidRPr="00957B32">
        <w:rPr>
          <w:rFonts w:ascii="Calibri" w:eastAsia="SimSun" w:hAnsi="Calibri"/>
        </w:rPr>
        <w:t xml:space="preserve"> </w:t>
      </w:r>
    </w:p>
    <w:p w:rsidR="00D11B0B" w:rsidRPr="00957B32" w:rsidRDefault="000F137B" w:rsidP="002F4495">
      <w:pPr>
        <w:ind w:left="360"/>
        <w:rPr>
          <w:rFonts w:ascii="Calibri" w:eastAsia="SimSun" w:hAnsi="Calibri"/>
        </w:rPr>
      </w:pPr>
      <w:r>
        <w:rPr>
          <w:rFonts w:ascii="Calibri" w:eastAsia="SimSun" w:hAnsi="Calibri"/>
        </w:rPr>
        <w:t xml:space="preserve">Kde </w:t>
      </w:r>
      <w:r w:rsidR="002F4495" w:rsidRPr="00957B32">
        <w:rPr>
          <w:rFonts w:ascii="Calibri" w:eastAsia="SimSun" w:hAnsi="Calibri"/>
        </w:rPr>
        <w:t xml:space="preserve">reklamu nejlépe či </w:t>
      </w:r>
      <w:r w:rsidR="005D5C94">
        <w:rPr>
          <w:rFonts w:ascii="Calibri" w:eastAsia="SimSun" w:hAnsi="Calibri"/>
        </w:rPr>
        <w:t>nejhůře</w:t>
      </w:r>
      <w:r w:rsidR="002F4495" w:rsidRPr="00957B32">
        <w:rPr>
          <w:rFonts w:ascii="Calibri" w:eastAsia="SimSun" w:hAnsi="Calibri"/>
        </w:rPr>
        <w:t xml:space="preserve"> „snášíme“?</w:t>
      </w:r>
    </w:p>
    <w:p w:rsidR="00D11B0B" w:rsidRPr="00957B32" w:rsidRDefault="00D11B0B" w:rsidP="00D11B0B">
      <w:pPr>
        <w:numPr>
          <w:ilvl w:val="0"/>
          <w:numId w:val="42"/>
        </w:numPr>
        <w:ind w:left="360" w:hanging="353"/>
        <w:rPr>
          <w:rFonts w:ascii="Calibri" w:eastAsia="SimSun" w:hAnsi="Calibri"/>
        </w:rPr>
      </w:pPr>
      <w:r w:rsidRPr="00957B32">
        <w:rPr>
          <w:rFonts w:ascii="Calibri" w:eastAsia="SimSun" w:hAnsi="Calibri"/>
        </w:rPr>
        <w:t>Jaká reklama na místě prodeje nejvíce láká?</w:t>
      </w:r>
      <w:r w:rsidR="002F4495" w:rsidRPr="00957B32">
        <w:rPr>
          <w:rFonts w:ascii="Calibri" w:eastAsia="SimSun" w:hAnsi="Calibri"/>
        </w:rPr>
        <w:t xml:space="preserve"> Jsou to stále ochutnávky?</w:t>
      </w:r>
    </w:p>
    <w:p w:rsidR="002F4495" w:rsidRPr="00957B32" w:rsidRDefault="002F4495" w:rsidP="00D11B0B">
      <w:pPr>
        <w:numPr>
          <w:ilvl w:val="0"/>
          <w:numId w:val="42"/>
        </w:numPr>
        <w:ind w:left="360" w:hanging="353"/>
        <w:rPr>
          <w:rFonts w:ascii="Calibri" w:eastAsia="SimSun" w:hAnsi="Calibri"/>
        </w:rPr>
      </w:pPr>
      <w:r w:rsidRPr="00957B32">
        <w:rPr>
          <w:rFonts w:ascii="Calibri" w:eastAsia="SimSun" w:hAnsi="Calibri"/>
        </w:rPr>
        <w:t xml:space="preserve">Existují stále „citlivá témata“ v reklamě? </w:t>
      </w:r>
      <w:r w:rsidR="00D11B0B" w:rsidRPr="00957B32">
        <w:rPr>
          <w:rFonts w:ascii="Calibri" w:eastAsia="SimSun" w:hAnsi="Calibri"/>
        </w:rPr>
        <w:t xml:space="preserve">Co říkáme na reklamu na cigarety, alkohol, </w:t>
      </w:r>
    </w:p>
    <w:p w:rsidR="00D11B0B" w:rsidRPr="00957B32" w:rsidRDefault="000F137B" w:rsidP="00B57E1C">
      <w:pPr>
        <w:ind w:left="360"/>
        <w:rPr>
          <w:rFonts w:ascii="Calibri" w:eastAsia="SimSun" w:hAnsi="Calibri"/>
        </w:rPr>
      </w:pPr>
      <w:r>
        <w:rPr>
          <w:rFonts w:ascii="Calibri" w:eastAsia="SimSun" w:hAnsi="Calibri"/>
        </w:rPr>
        <w:t xml:space="preserve">volně prodejné léky a </w:t>
      </w:r>
      <w:r w:rsidR="00D11B0B" w:rsidRPr="00957B32">
        <w:rPr>
          <w:rFonts w:ascii="Calibri" w:eastAsia="SimSun" w:hAnsi="Calibri"/>
        </w:rPr>
        <w:t>nebezpečné</w:t>
      </w:r>
      <w:r>
        <w:rPr>
          <w:rFonts w:ascii="Calibri" w:eastAsia="SimSun" w:hAnsi="Calibri"/>
        </w:rPr>
        <w:t xml:space="preserve"> </w:t>
      </w:r>
      <w:r w:rsidR="002F4495" w:rsidRPr="00957B32">
        <w:rPr>
          <w:rFonts w:ascii="Calibri" w:eastAsia="SimSun" w:hAnsi="Calibri"/>
        </w:rPr>
        <w:t>po</w:t>
      </w:r>
      <w:r w:rsidR="00D11B0B" w:rsidRPr="00957B32">
        <w:rPr>
          <w:rFonts w:ascii="Calibri" w:eastAsia="SimSun" w:hAnsi="Calibri"/>
        </w:rPr>
        <w:t>traviny?</w:t>
      </w:r>
    </w:p>
    <w:p w:rsidR="00D11B0B" w:rsidRPr="00B57E1C" w:rsidRDefault="00D11B0B" w:rsidP="00B57E1C">
      <w:pPr>
        <w:numPr>
          <w:ilvl w:val="0"/>
          <w:numId w:val="42"/>
        </w:numPr>
        <w:ind w:left="360" w:hanging="353"/>
        <w:rPr>
          <w:rFonts w:ascii="Calibri" w:eastAsia="SimSun" w:hAnsi="Calibri"/>
        </w:rPr>
      </w:pPr>
      <w:r w:rsidRPr="00957B32">
        <w:rPr>
          <w:rFonts w:ascii="Calibri" w:eastAsia="SimSun" w:hAnsi="Calibri"/>
        </w:rPr>
        <w:t>Jak přijímáme erotické a sexuální motivy v reklamě?</w:t>
      </w:r>
      <w:r w:rsidR="002F4495" w:rsidRPr="00957B32">
        <w:rPr>
          <w:rFonts w:ascii="Calibri" w:eastAsia="SimSun" w:hAnsi="Calibri"/>
        </w:rPr>
        <w:t xml:space="preserve"> Jaká je naše tolerance?</w:t>
      </w:r>
      <w:r w:rsidRPr="00957B32">
        <w:rPr>
          <w:rFonts w:ascii="Calibri" w:eastAsia="SimSun" w:hAnsi="Calibri"/>
        </w:rPr>
        <w:t xml:space="preserve"> </w:t>
      </w:r>
      <w:r w:rsidR="002F4495" w:rsidRPr="00957B32">
        <w:rPr>
          <w:rFonts w:ascii="Calibri" w:eastAsia="SimSun" w:hAnsi="Calibri"/>
        </w:rPr>
        <w:t xml:space="preserve"> </w:t>
      </w:r>
      <w:r w:rsidR="00B57E1C">
        <w:rPr>
          <w:rFonts w:ascii="Calibri" w:eastAsia="SimSun" w:hAnsi="Calibri"/>
        </w:rPr>
        <w:br/>
      </w:r>
      <w:r w:rsidR="002F4495" w:rsidRPr="00957B32">
        <w:rPr>
          <w:rFonts w:ascii="Calibri" w:eastAsia="SimSun" w:hAnsi="Calibri"/>
        </w:rPr>
        <w:t xml:space="preserve">A co </w:t>
      </w:r>
      <w:r w:rsidR="002F4495" w:rsidRPr="00B57E1C">
        <w:rPr>
          <w:rFonts w:ascii="Calibri" w:eastAsia="SimSun" w:hAnsi="Calibri"/>
        </w:rPr>
        <w:t>motivy náboženské?</w:t>
      </w:r>
      <w:r w:rsidRPr="00B57E1C">
        <w:rPr>
          <w:rFonts w:ascii="Calibri" w:eastAsia="SimSun" w:hAnsi="Calibri"/>
        </w:rPr>
        <w:t xml:space="preserve">  </w:t>
      </w:r>
    </w:p>
    <w:p w:rsidR="00D11B0B" w:rsidRPr="00957B32" w:rsidRDefault="00D11B0B" w:rsidP="00D11B0B">
      <w:pPr>
        <w:numPr>
          <w:ilvl w:val="0"/>
          <w:numId w:val="42"/>
        </w:numPr>
        <w:ind w:left="360" w:hanging="353"/>
        <w:rPr>
          <w:rFonts w:ascii="Calibri" w:eastAsia="SimSun" w:hAnsi="Calibri"/>
        </w:rPr>
      </w:pPr>
      <w:r w:rsidRPr="00957B32">
        <w:rPr>
          <w:rFonts w:ascii="Calibri" w:eastAsia="SimSun" w:hAnsi="Calibri"/>
        </w:rPr>
        <w:t>Jaké segmenty zákazníků můžeme popsat na základě jejich postojů k reklamě?</w:t>
      </w:r>
    </w:p>
    <w:p w:rsidR="00D11B0B" w:rsidRPr="00957B32" w:rsidRDefault="00D11B0B" w:rsidP="00D11B0B">
      <w:pPr>
        <w:numPr>
          <w:ilvl w:val="0"/>
          <w:numId w:val="42"/>
        </w:numPr>
        <w:ind w:left="360" w:hanging="353"/>
        <w:rPr>
          <w:rFonts w:ascii="Calibri" w:eastAsia="SimSun" w:hAnsi="Calibri"/>
        </w:rPr>
      </w:pPr>
      <w:r w:rsidRPr="00957B32">
        <w:rPr>
          <w:rFonts w:ascii="Calibri" w:eastAsia="SimSun" w:hAnsi="Calibri"/>
        </w:rPr>
        <w:t>Kdo jsou ti, kteří reklamu zcela odmítají</w:t>
      </w:r>
      <w:r w:rsidR="00B57E1C">
        <w:rPr>
          <w:rFonts w:ascii="Calibri" w:eastAsia="SimSun" w:hAnsi="Calibri"/>
        </w:rPr>
        <w:t>,</w:t>
      </w:r>
      <w:r w:rsidRPr="00957B32">
        <w:rPr>
          <w:rFonts w:ascii="Calibri" w:eastAsia="SimSun" w:hAnsi="Calibri"/>
        </w:rPr>
        <w:t xml:space="preserve"> a naopak ti, kteří na „její rady“ dají?</w:t>
      </w:r>
    </w:p>
    <w:p w:rsidR="00D840C6" w:rsidRPr="00957B32" w:rsidRDefault="00D840C6" w:rsidP="00BA7994">
      <w:pPr>
        <w:pStyle w:val="Zkladntext"/>
        <w:ind w:left="720"/>
        <w:jc w:val="left"/>
        <w:rPr>
          <w:rFonts w:ascii="Calibri" w:hAnsi="Calibri"/>
          <w:b/>
          <w:bCs/>
          <w:iCs/>
          <w:sz w:val="24"/>
          <w:szCs w:val="24"/>
        </w:rPr>
      </w:pPr>
    </w:p>
    <w:p w:rsidR="008E090D" w:rsidRDefault="008E090D" w:rsidP="008E090D">
      <w:pPr>
        <w:pStyle w:val="Zkladntext"/>
        <w:jc w:val="left"/>
        <w:rPr>
          <w:rFonts w:ascii="Calibri" w:hAnsi="Calibri"/>
          <w:b/>
          <w:bCs/>
          <w:iCs/>
          <w:sz w:val="24"/>
          <w:szCs w:val="24"/>
        </w:rPr>
      </w:pPr>
    </w:p>
    <w:p w:rsidR="008E090D" w:rsidRDefault="008E090D" w:rsidP="008E090D">
      <w:pPr>
        <w:pStyle w:val="Zkladntext"/>
        <w:jc w:val="left"/>
        <w:rPr>
          <w:rFonts w:ascii="Calibri" w:hAnsi="Calibri"/>
          <w:b/>
          <w:bCs/>
          <w:iCs/>
          <w:sz w:val="24"/>
          <w:szCs w:val="24"/>
        </w:rPr>
      </w:pPr>
    </w:p>
    <w:p w:rsidR="00576F49" w:rsidRDefault="00576F49" w:rsidP="008E090D">
      <w:pPr>
        <w:pStyle w:val="Zkladntext"/>
        <w:jc w:val="left"/>
        <w:rPr>
          <w:rFonts w:ascii="Calibri" w:hAnsi="Calibri"/>
          <w:b/>
          <w:bCs/>
          <w:iCs/>
          <w:sz w:val="24"/>
          <w:szCs w:val="24"/>
        </w:rPr>
      </w:pPr>
    </w:p>
    <w:p w:rsidR="00576F49" w:rsidRDefault="00576F49" w:rsidP="008E090D">
      <w:pPr>
        <w:pStyle w:val="Zkladntext"/>
        <w:jc w:val="left"/>
        <w:rPr>
          <w:rFonts w:ascii="Calibri" w:hAnsi="Calibri"/>
          <w:b/>
          <w:bCs/>
          <w:iCs/>
          <w:sz w:val="24"/>
          <w:szCs w:val="24"/>
        </w:rPr>
      </w:pPr>
    </w:p>
    <w:p w:rsidR="008E090D" w:rsidRDefault="0084353B" w:rsidP="008E090D">
      <w:pPr>
        <w:pStyle w:val="Zkladntext"/>
        <w:jc w:val="left"/>
        <w:rPr>
          <w:rFonts w:ascii="Calibri" w:hAnsi="Calibri"/>
          <w:b/>
          <w:bCs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4052570</wp:posOffset>
            </wp:positionH>
            <wp:positionV relativeFrom="paragraph">
              <wp:posOffset>175895</wp:posOffset>
            </wp:positionV>
            <wp:extent cx="1485900" cy="771525"/>
            <wp:effectExtent l="0" t="0" r="0" b="9525"/>
            <wp:wrapNone/>
            <wp:docPr id="41" name="Picture 2" descr="C:\Users\win\Documents\reklama - postoje výzkumy\REKLAMA POSTOJE 2014\logo ppmfact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Documents\reklama - postoje výzkumy\REKLAMA POSTOJE 2014\logo ppmfactu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2269490</wp:posOffset>
            </wp:positionH>
            <wp:positionV relativeFrom="paragraph">
              <wp:posOffset>14605</wp:posOffset>
            </wp:positionV>
            <wp:extent cx="1393190" cy="1132840"/>
            <wp:effectExtent l="0" t="0" r="0" b="0"/>
            <wp:wrapNone/>
            <wp:docPr id="40" name="Picture 10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090D" w:rsidRDefault="0084353B" w:rsidP="00EC073F">
      <w:pPr>
        <w:pStyle w:val="Zkladntext"/>
        <w:jc w:val="center"/>
        <w:rPr>
          <w:rFonts w:ascii="Calibri" w:hAnsi="Calibri"/>
          <w:b/>
          <w:bCs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75565</wp:posOffset>
            </wp:positionV>
            <wp:extent cx="2009775" cy="733425"/>
            <wp:effectExtent l="0" t="0" r="9525" b="9525"/>
            <wp:wrapNone/>
            <wp:docPr id="42" name="Picture 7" descr="POPAI Central Eu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PAI Central Europ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4495" w:rsidRPr="0003474D" w:rsidRDefault="00EC073F" w:rsidP="00EC073F">
      <w:pPr>
        <w:pStyle w:val="Zkladntext"/>
        <w:jc w:val="center"/>
        <w:rPr>
          <w:rFonts w:ascii="Calibri" w:hAnsi="Calibri"/>
          <w:b/>
          <w:bCs/>
          <w:iCs/>
          <w:sz w:val="24"/>
          <w:szCs w:val="24"/>
        </w:rPr>
      </w:pPr>
      <w:r>
        <w:rPr>
          <w:rFonts w:ascii="Calibri" w:hAnsi="Calibri"/>
          <w:b/>
          <w:bCs/>
          <w:iCs/>
          <w:sz w:val="24"/>
          <w:szCs w:val="24"/>
        </w:rPr>
        <w:t xml:space="preserve">        </w:t>
      </w:r>
    </w:p>
    <w:p w:rsidR="00EA1824" w:rsidRDefault="00EA1824" w:rsidP="00BF3B44">
      <w:pPr>
        <w:pStyle w:val="Zkladntext"/>
        <w:jc w:val="center"/>
        <w:rPr>
          <w:rFonts w:ascii="Calibri" w:hAnsi="Calibri"/>
          <w:b/>
          <w:bCs/>
          <w:iCs/>
          <w:sz w:val="28"/>
          <w:szCs w:val="28"/>
        </w:rPr>
      </w:pPr>
    </w:p>
    <w:p w:rsidR="000A1747" w:rsidRDefault="000A1747" w:rsidP="001E785D">
      <w:pPr>
        <w:jc w:val="center"/>
        <w:rPr>
          <w:b/>
          <w:bCs/>
          <w:sz w:val="28"/>
          <w:szCs w:val="28"/>
        </w:rPr>
      </w:pPr>
    </w:p>
    <w:p w:rsidR="00576F49" w:rsidRDefault="00576F49" w:rsidP="001E785D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6059D1" w:rsidRPr="00B57E1C" w:rsidRDefault="00EC073F" w:rsidP="001E785D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B57E1C">
        <w:rPr>
          <w:rFonts w:asciiTheme="minorHAnsi" w:hAnsiTheme="minorHAnsi" w:cstheme="minorHAnsi"/>
          <w:b/>
          <w:bCs/>
          <w:sz w:val="28"/>
          <w:szCs w:val="28"/>
        </w:rPr>
        <w:lastRenderedPageBreak/>
        <w:t>J</w:t>
      </w:r>
      <w:r w:rsidR="006059D1" w:rsidRPr="00B57E1C">
        <w:rPr>
          <w:rFonts w:asciiTheme="minorHAnsi" w:hAnsiTheme="minorHAnsi" w:cstheme="minorHAnsi"/>
          <w:b/>
          <w:bCs/>
          <w:sz w:val="28"/>
          <w:szCs w:val="28"/>
        </w:rPr>
        <w:t xml:space="preserve">e </w:t>
      </w:r>
      <w:proofErr w:type="gramStart"/>
      <w:r w:rsidR="006059D1" w:rsidRPr="00B57E1C">
        <w:rPr>
          <w:rFonts w:asciiTheme="minorHAnsi" w:hAnsiTheme="minorHAnsi" w:cstheme="minorHAnsi"/>
          <w:b/>
          <w:bCs/>
          <w:sz w:val="28"/>
          <w:szCs w:val="28"/>
        </w:rPr>
        <w:t>reklama  zdrojem</w:t>
      </w:r>
      <w:proofErr w:type="gramEnd"/>
      <w:r w:rsidR="006059D1" w:rsidRPr="00B57E1C">
        <w:rPr>
          <w:rFonts w:asciiTheme="minorHAnsi" w:hAnsiTheme="minorHAnsi" w:cstheme="minorHAnsi"/>
          <w:b/>
          <w:bCs/>
          <w:sz w:val="28"/>
          <w:szCs w:val="28"/>
        </w:rPr>
        <w:t xml:space="preserve">  informací pro nákupní </w:t>
      </w:r>
      <w:r w:rsidR="00F74AEC" w:rsidRPr="00B57E1C">
        <w:rPr>
          <w:rFonts w:asciiTheme="minorHAnsi" w:hAnsiTheme="minorHAnsi" w:cstheme="minorHAnsi"/>
          <w:b/>
          <w:bCs/>
          <w:sz w:val="28"/>
          <w:szCs w:val="28"/>
        </w:rPr>
        <w:t>rozhodování</w:t>
      </w:r>
      <w:r w:rsidR="00F74AEC">
        <w:rPr>
          <w:rFonts w:asciiTheme="minorHAnsi" w:hAnsiTheme="minorHAnsi" w:cstheme="minorHAnsi"/>
          <w:b/>
          <w:bCs/>
          <w:sz w:val="28"/>
          <w:szCs w:val="28"/>
        </w:rPr>
        <w:t>?</w:t>
      </w:r>
    </w:p>
    <w:p w:rsidR="006059D1" w:rsidRPr="00B57E1C" w:rsidRDefault="006059D1" w:rsidP="001E785D">
      <w:pPr>
        <w:jc w:val="center"/>
        <w:rPr>
          <w:rFonts w:asciiTheme="minorHAnsi" w:hAnsiTheme="minorHAnsi" w:cstheme="minorHAnsi"/>
          <w:b/>
          <w:bCs/>
        </w:rPr>
      </w:pPr>
    </w:p>
    <w:p w:rsidR="006059D1" w:rsidRPr="00B57E1C" w:rsidRDefault="006059D1" w:rsidP="006059D1">
      <w:pPr>
        <w:rPr>
          <w:rFonts w:asciiTheme="minorHAnsi" w:hAnsiTheme="minorHAnsi" w:cstheme="minorHAnsi"/>
        </w:rPr>
      </w:pPr>
      <w:r w:rsidRPr="00B57E1C">
        <w:rPr>
          <w:rFonts w:asciiTheme="minorHAnsi" w:hAnsiTheme="minorHAnsi" w:cstheme="minorHAnsi"/>
          <w:bCs/>
        </w:rPr>
        <w:t>Za vítaný zdroj informací považuje reklamu cca 40 % české populace a je mezi nimi více žen a těch, kteří tráví více času na internetu.  Pomoc při rozhodování vítají na místě prodeje a to jak ve formě ochutnávek, tak upoutávek na regálech a pultech pr</w:t>
      </w:r>
      <w:r w:rsidR="00B57E1C">
        <w:rPr>
          <w:rFonts w:asciiTheme="minorHAnsi" w:hAnsiTheme="minorHAnsi" w:cstheme="minorHAnsi"/>
          <w:bCs/>
        </w:rPr>
        <w:t xml:space="preserve">odejen i letáků, které jsou </w:t>
      </w:r>
      <w:r w:rsidRPr="00B57E1C">
        <w:rPr>
          <w:rFonts w:asciiTheme="minorHAnsi" w:hAnsiTheme="minorHAnsi" w:cstheme="minorHAnsi"/>
          <w:bCs/>
        </w:rPr>
        <w:t>k dispozici na prodejnách i v poštovních schránkách.  Na op</w:t>
      </w:r>
      <w:r w:rsidR="00B57E1C">
        <w:rPr>
          <w:rFonts w:asciiTheme="minorHAnsi" w:hAnsiTheme="minorHAnsi" w:cstheme="minorHAnsi"/>
          <w:bCs/>
        </w:rPr>
        <w:t xml:space="preserve">ačném pólu, tedy jako reklamu, </w:t>
      </w:r>
      <w:r w:rsidRPr="00B57E1C">
        <w:rPr>
          <w:rFonts w:asciiTheme="minorHAnsi" w:hAnsiTheme="minorHAnsi" w:cstheme="minorHAnsi"/>
          <w:bCs/>
        </w:rPr>
        <w:t>která na jejich rozhodování nemá vliv, uvádějí</w:t>
      </w:r>
      <w:r w:rsidR="00B57E1C">
        <w:rPr>
          <w:rFonts w:asciiTheme="minorHAnsi" w:hAnsiTheme="minorHAnsi" w:cstheme="minorHAnsi"/>
          <w:bCs/>
        </w:rPr>
        <w:t xml:space="preserve"> reklamu v mobilních telefonech</w:t>
      </w:r>
      <w:r w:rsidRPr="00B57E1C">
        <w:rPr>
          <w:rFonts w:asciiTheme="minorHAnsi" w:hAnsiTheme="minorHAnsi" w:cstheme="minorHAnsi"/>
          <w:bCs/>
        </w:rPr>
        <w:t>,</w:t>
      </w:r>
      <w:r w:rsidRPr="00B57E1C">
        <w:rPr>
          <w:rFonts w:asciiTheme="minorHAnsi" w:hAnsiTheme="minorHAnsi" w:cstheme="minorHAnsi"/>
        </w:rPr>
        <w:t xml:space="preserve"> písemné pozvánky do spotřebitelských soutěží a internetovou reklamu. </w:t>
      </w:r>
    </w:p>
    <w:p w:rsidR="000A1747" w:rsidRDefault="005D5C94" w:rsidP="006059D1"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135890</wp:posOffset>
            </wp:positionV>
            <wp:extent cx="5257800" cy="4761865"/>
            <wp:effectExtent l="19050" t="19050" r="19050" b="19685"/>
            <wp:wrapNone/>
            <wp:docPr id="3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7618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747" w:rsidRDefault="000A1747" w:rsidP="006059D1"/>
    <w:p w:rsidR="000A1747" w:rsidRDefault="000A1747" w:rsidP="006059D1"/>
    <w:p w:rsidR="000A1747" w:rsidRDefault="000A1747" w:rsidP="006059D1"/>
    <w:p w:rsidR="000A1747" w:rsidRDefault="000A1747" w:rsidP="006059D1"/>
    <w:p w:rsidR="000A1747" w:rsidRDefault="000A1747" w:rsidP="006059D1"/>
    <w:p w:rsidR="000A1747" w:rsidRDefault="000A1747" w:rsidP="006059D1"/>
    <w:p w:rsidR="000A1747" w:rsidRDefault="000A1747" w:rsidP="006059D1"/>
    <w:p w:rsidR="000A1747" w:rsidRDefault="000A1747" w:rsidP="006059D1"/>
    <w:p w:rsidR="000A1747" w:rsidRDefault="000A1747" w:rsidP="006059D1"/>
    <w:p w:rsidR="000A1747" w:rsidRDefault="000A1747" w:rsidP="006059D1"/>
    <w:p w:rsidR="000A1747" w:rsidRDefault="000A1747" w:rsidP="006059D1"/>
    <w:p w:rsidR="000A1747" w:rsidRDefault="000A1747" w:rsidP="006059D1"/>
    <w:p w:rsidR="000C5E43" w:rsidRDefault="000C5E43" w:rsidP="006059D1"/>
    <w:p w:rsidR="000C5E43" w:rsidRDefault="000C5E43" w:rsidP="006059D1"/>
    <w:p w:rsidR="000C5E43" w:rsidRDefault="000C5E43" w:rsidP="006059D1"/>
    <w:p w:rsidR="000A1747" w:rsidRPr="006059D1" w:rsidRDefault="000A1747" w:rsidP="006059D1">
      <w:pPr>
        <w:rPr>
          <w:bCs/>
        </w:rPr>
      </w:pPr>
    </w:p>
    <w:p w:rsidR="006059D1" w:rsidRDefault="006059D1" w:rsidP="006059D1">
      <w:pPr>
        <w:rPr>
          <w:color w:val="FF0000"/>
        </w:rPr>
      </w:pPr>
    </w:p>
    <w:p w:rsidR="000C5E43" w:rsidRDefault="000C5E43" w:rsidP="006059D1">
      <w:pPr>
        <w:rPr>
          <w:color w:val="000000"/>
        </w:rPr>
      </w:pPr>
    </w:p>
    <w:p w:rsidR="00576F49" w:rsidRDefault="00576F49" w:rsidP="006059D1">
      <w:pPr>
        <w:rPr>
          <w:rFonts w:asciiTheme="minorHAnsi" w:hAnsiTheme="minorHAnsi" w:cstheme="minorHAnsi"/>
          <w:color w:val="000000"/>
        </w:rPr>
      </w:pPr>
    </w:p>
    <w:p w:rsidR="005D5C94" w:rsidRDefault="005D5C94" w:rsidP="006059D1">
      <w:pPr>
        <w:rPr>
          <w:rFonts w:asciiTheme="minorHAnsi" w:hAnsiTheme="minorHAnsi" w:cstheme="minorHAnsi"/>
          <w:color w:val="000000"/>
        </w:rPr>
      </w:pPr>
    </w:p>
    <w:p w:rsidR="005D5C94" w:rsidRDefault="005D5C94" w:rsidP="006059D1">
      <w:pPr>
        <w:rPr>
          <w:rFonts w:asciiTheme="minorHAnsi" w:hAnsiTheme="minorHAnsi" w:cstheme="minorHAnsi"/>
          <w:color w:val="000000"/>
        </w:rPr>
      </w:pPr>
    </w:p>
    <w:p w:rsidR="005D5C94" w:rsidRDefault="005D5C94" w:rsidP="006059D1">
      <w:pPr>
        <w:rPr>
          <w:rFonts w:asciiTheme="minorHAnsi" w:hAnsiTheme="minorHAnsi" w:cstheme="minorHAnsi"/>
          <w:color w:val="000000"/>
        </w:rPr>
      </w:pPr>
    </w:p>
    <w:p w:rsidR="005D5C94" w:rsidRDefault="005D5C94" w:rsidP="006059D1">
      <w:pPr>
        <w:rPr>
          <w:rFonts w:asciiTheme="minorHAnsi" w:hAnsiTheme="minorHAnsi" w:cstheme="minorHAnsi"/>
          <w:color w:val="000000"/>
        </w:rPr>
      </w:pPr>
    </w:p>
    <w:p w:rsidR="005D5C94" w:rsidRDefault="005D5C94" w:rsidP="006059D1">
      <w:pPr>
        <w:rPr>
          <w:rFonts w:asciiTheme="minorHAnsi" w:hAnsiTheme="minorHAnsi" w:cstheme="minorHAnsi"/>
          <w:color w:val="000000"/>
        </w:rPr>
      </w:pPr>
    </w:p>
    <w:p w:rsidR="00A608D4" w:rsidRDefault="00A608D4" w:rsidP="006059D1">
      <w:pPr>
        <w:rPr>
          <w:rFonts w:asciiTheme="minorHAnsi" w:hAnsiTheme="minorHAnsi" w:cstheme="minorHAnsi"/>
          <w:color w:val="000000"/>
        </w:rPr>
      </w:pPr>
    </w:p>
    <w:p w:rsidR="00A608D4" w:rsidRDefault="00A608D4" w:rsidP="006059D1">
      <w:pPr>
        <w:rPr>
          <w:rFonts w:asciiTheme="minorHAnsi" w:hAnsiTheme="minorHAnsi" w:cstheme="minorHAnsi"/>
          <w:color w:val="000000"/>
        </w:rPr>
      </w:pPr>
    </w:p>
    <w:p w:rsidR="00A608D4" w:rsidRDefault="00A608D4" w:rsidP="006059D1">
      <w:pPr>
        <w:rPr>
          <w:rFonts w:asciiTheme="minorHAnsi" w:hAnsiTheme="minorHAnsi" w:cstheme="minorHAnsi"/>
          <w:color w:val="000000"/>
        </w:rPr>
      </w:pPr>
    </w:p>
    <w:p w:rsidR="006059D1" w:rsidRPr="00B57E1C" w:rsidRDefault="00576F49" w:rsidP="006059D1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To, j</w:t>
      </w:r>
      <w:r w:rsidR="006059D1" w:rsidRPr="00B57E1C">
        <w:rPr>
          <w:rFonts w:asciiTheme="minorHAnsi" w:hAnsiTheme="minorHAnsi" w:cstheme="minorHAnsi"/>
          <w:color w:val="000000"/>
        </w:rPr>
        <w:t>ak vnímají zákazníci přínos reklamy při nákupním rozhodování je však pouze polovina skutečnosti. Druhou poněkud odlišnou částí je skutečné využití informací z reklamy při nákupním rozhodování. Reálný vliv různých druhů reklamy na nákupní rozhodování se liší od toho, co zákazníci uvádí a jak to vnímají</w:t>
      </w:r>
      <w:r w:rsidR="001E785D" w:rsidRPr="00B57E1C">
        <w:rPr>
          <w:rFonts w:asciiTheme="minorHAnsi" w:hAnsiTheme="minorHAnsi" w:cstheme="minorHAnsi"/>
          <w:color w:val="000000"/>
        </w:rPr>
        <w:t xml:space="preserve">. </w:t>
      </w:r>
      <w:r w:rsidR="006059D1" w:rsidRPr="00B57E1C">
        <w:rPr>
          <w:rFonts w:asciiTheme="minorHAnsi" w:hAnsiTheme="minorHAnsi" w:cstheme="minorHAnsi"/>
          <w:color w:val="000000"/>
        </w:rPr>
        <w:t>Reálně nejvíce pomáhají při nákupním rozhodování informace z reklamy v komerčních televizích, následuje ČT, letáky ve schránkách, noviny a časopisy, upoutávky na regálech. Dále letáky na prodejnách a billboardy.</w:t>
      </w:r>
      <w:r w:rsidR="001E785D" w:rsidRPr="00B57E1C">
        <w:rPr>
          <w:rFonts w:asciiTheme="minorHAnsi" w:hAnsiTheme="minorHAnsi" w:cstheme="minorHAnsi"/>
          <w:color w:val="000000"/>
        </w:rPr>
        <w:t xml:space="preserve"> Místo prodeje stále zůstává důležitým prostorem pro uplatnění reklamy, ale i když lidé deklarují přesycenost TV reklamou, jsou informace z tohoto zdroje stále důležité. </w:t>
      </w:r>
    </w:p>
    <w:p w:rsidR="000A1747" w:rsidRDefault="006059D1" w:rsidP="006059D1">
      <w:pPr>
        <w:rPr>
          <w:color w:val="000000"/>
        </w:rPr>
      </w:pPr>
      <w:r w:rsidRPr="00B57E1C">
        <w:rPr>
          <w:rFonts w:asciiTheme="minorHAnsi" w:hAnsiTheme="minorHAnsi" w:cstheme="minorHAnsi"/>
          <w:color w:val="000000"/>
        </w:rPr>
        <w:t>Nejméně reálně pomáhá reklama v mobilních telefonech, pak internetová reklama překrývající původní obsah a pozvánky do spotřebitelských soutěží.</w:t>
      </w:r>
      <w:r w:rsidR="001E785D" w:rsidRPr="00B57E1C">
        <w:rPr>
          <w:rFonts w:asciiTheme="minorHAnsi" w:hAnsiTheme="minorHAnsi" w:cstheme="minorHAnsi"/>
          <w:color w:val="000000"/>
        </w:rPr>
        <w:t xml:space="preserve">  </w:t>
      </w:r>
    </w:p>
    <w:p w:rsidR="00492AA4" w:rsidRDefault="00492AA4" w:rsidP="006059D1">
      <w:pPr>
        <w:rPr>
          <w:color w:val="000000"/>
        </w:rPr>
      </w:pPr>
    </w:p>
    <w:p w:rsidR="000A1747" w:rsidRDefault="000A1747" w:rsidP="001E785D">
      <w:pPr>
        <w:pStyle w:val="Zkladntext"/>
        <w:rPr>
          <w:rFonts w:ascii="Calibri" w:hAnsi="Calibri"/>
          <w:b/>
          <w:bCs/>
          <w:iCs/>
          <w:sz w:val="28"/>
          <w:szCs w:val="28"/>
        </w:rPr>
      </w:pPr>
    </w:p>
    <w:p w:rsidR="00F74AEC" w:rsidRDefault="00F74AEC" w:rsidP="000C5E43">
      <w:pPr>
        <w:pStyle w:val="Zkladntext"/>
        <w:jc w:val="center"/>
        <w:rPr>
          <w:rFonts w:ascii="Calibri" w:hAnsi="Calibri"/>
          <w:b/>
          <w:bCs/>
          <w:iCs/>
          <w:sz w:val="28"/>
          <w:szCs w:val="28"/>
        </w:rPr>
      </w:pPr>
    </w:p>
    <w:p w:rsidR="00F74AEC" w:rsidRDefault="00F74AEC" w:rsidP="000C5E43">
      <w:pPr>
        <w:pStyle w:val="Zkladntext"/>
        <w:jc w:val="center"/>
        <w:rPr>
          <w:rFonts w:ascii="Calibri" w:hAnsi="Calibri"/>
          <w:b/>
          <w:bCs/>
          <w:iCs/>
          <w:sz w:val="28"/>
          <w:szCs w:val="28"/>
        </w:rPr>
      </w:pPr>
    </w:p>
    <w:p w:rsidR="006059D1" w:rsidRDefault="001E785D" w:rsidP="000C5E43">
      <w:pPr>
        <w:pStyle w:val="Zkladntext"/>
        <w:jc w:val="center"/>
        <w:rPr>
          <w:rFonts w:ascii="Calibri" w:hAnsi="Calibri"/>
          <w:b/>
          <w:bCs/>
          <w:iCs/>
          <w:sz w:val="28"/>
          <w:szCs w:val="28"/>
        </w:rPr>
      </w:pPr>
      <w:r>
        <w:rPr>
          <w:rFonts w:ascii="Calibri" w:hAnsi="Calibri"/>
          <w:b/>
          <w:bCs/>
          <w:iCs/>
          <w:sz w:val="28"/>
          <w:szCs w:val="28"/>
        </w:rPr>
        <w:t xml:space="preserve">A jak je to s nákupem na základě reklamy? </w:t>
      </w:r>
    </w:p>
    <w:p w:rsidR="006059D1" w:rsidRPr="00492AA4" w:rsidRDefault="006059D1" w:rsidP="00BF3B44">
      <w:pPr>
        <w:pStyle w:val="Zkladntext"/>
        <w:jc w:val="center"/>
        <w:rPr>
          <w:rFonts w:ascii="Calibri" w:hAnsi="Calibri"/>
          <w:b/>
          <w:bCs/>
          <w:iCs/>
          <w:sz w:val="24"/>
          <w:szCs w:val="24"/>
        </w:rPr>
      </w:pPr>
    </w:p>
    <w:p w:rsidR="00B57E1C" w:rsidRDefault="001E785D" w:rsidP="001E785D">
      <w:pPr>
        <w:pStyle w:val="Zkladntext"/>
        <w:jc w:val="left"/>
        <w:rPr>
          <w:rFonts w:ascii="Calibri" w:hAnsi="Calibri"/>
          <w:bCs/>
          <w:iCs/>
          <w:sz w:val="24"/>
          <w:szCs w:val="24"/>
        </w:rPr>
      </w:pPr>
      <w:r w:rsidRPr="00BF3B44">
        <w:rPr>
          <w:rFonts w:ascii="Calibri" w:hAnsi="Calibri"/>
          <w:bCs/>
          <w:iCs/>
          <w:sz w:val="24"/>
          <w:szCs w:val="24"/>
        </w:rPr>
        <w:t>Nákup</w:t>
      </w:r>
      <w:r>
        <w:rPr>
          <w:rFonts w:ascii="Calibri" w:hAnsi="Calibri"/>
          <w:bCs/>
          <w:iCs/>
          <w:sz w:val="24"/>
          <w:szCs w:val="24"/>
        </w:rPr>
        <w:t xml:space="preserve"> na základě reklamy, či přesněji ochotu přiznat takový nákup, jsme do výzkumu zařadili již v roce 1994. Po celou dobu šetření se hodnoty odpovědí „ano, koupil/a/ jsem na základě reklamy“ pohybují v průměru mezi</w:t>
      </w:r>
      <w:r w:rsidR="00055962">
        <w:rPr>
          <w:rFonts w:ascii="Calibri" w:hAnsi="Calibri"/>
          <w:bCs/>
          <w:iCs/>
          <w:sz w:val="24"/>
          <w:szCs w:val="24"/>
        </w:rPr>
        <w:t xml:space="preserve"> 30 – 40 % a celkově </w:t>
      </w:r>
      <w:bookmarkStart w:id="0" w:name="_GoBack"/>
      <w:bookmarkEnd w:id="0"/>
      <w:r>
        <w:rPr>
          <w:rFonts w:ascii="Calibri" w:hAnsi="Calibri"/>
          <w:bCs/>
          <w:iCs/>
          <w:sz w:val="24"/>
          <w:szCs w:val="24"/>
        </w:rPr>
        <w:t>mají vzestupnou te</w:t>
      </w:r>
      <w:r w:rsidR="00055962">
        <w:rPr>
          <w:rFonts w:ascii="Calibri" w:hAnsi="Calibri"/>
          <w:bCs/>
          <w:iCs/>
          <w:sz w:val="24"/>
          <w:szCs w:val="24"/>
        </w:rPr>
        <w:t>ndenci. V letošním roce to bylo 44 %.</w:t>
      </w:r>
    </w:p>
    <w:p w:rsidR="00055962" w:rsidRDefault="00055962" w:rsidP="001E785D">
      <w:pPr>
        <w:pStyle w:val="Zkladntext"/>
        <w:jc w:val="left"/>
        <w:rPr>
          <w:rFonts w:ascii="Calibri" w:hAnsi="Calibri"/>
          <w:bCs/>
          <w:iCs/>
          <w:sz w:val="24"/>
          <w:szCs w:val="24"/>
        </w:rPr>
      </w:pPr>
    </w:p>
    <w:p w:rsidR="00055962" w:rsidRDefault="005D5C94" w:rsidP="001E785D">
      <w:pPr>
        <w:pStyle w:val="Zkladntext"/>
        <w:jc w:val="left"/>
        <w:rPr>
          <w:rFonts w:ascii="Calibri" w:hAnsi="Calibri"/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>
            <wp:extent cx="5941060" cy="2937727"/>
            <wp:effectExtent l="19050" t="0" r="21590" b="0"/>
            <wp:docPr id="1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55962" w:rsidRDefault="00055962" w:rsidP="001E785D">
      <w:pPr>
        <w:pStyle w:val="Zkladntext"/>
        <w:jc w:val="left"/>
        <w:rPr>
          <w:rFonts w:ascii="Calibri" w:hAnsi="Calibri"/>
          <w:bCs/>
          <w:iCs/>
          <w:sz w:val="24"/>
          <w:szCs w:val="24"/>
        </w:rPr>
      </w:pPr>
    </w:p>
    <w:p w:rsidR="00055962" w:rsidRDefault="005D5C94" w:rsidP="008F6883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         </w:t>
      </w:r>
    </w:p>
    <w:p w:rsidR="008F6883" w:rsidRPr="000C5E43" w:rsidRDefault="001E785D" w:rsidP="005D5C94">
      <w:pPr>
        <w:jc w:val="center"/>
        <w:rPr>
          <w:rFonts w:ascii="Calibri" w:hAnsi="Calibri"/>
          <w:b/>
          <w:sz w:val="28"/>
          <w:szCs w:val="28"/>
        </w:rPr>
      </w:pPr>
      <w:r w:rsidRPr="001E785D">
        <w:rPr>
          <w:rFonts w:ascii="Calibri" w:hAnsi="Calibri"/>
          <w:b/>
          <w:sz w:val="28"/>
          <w:szCs w:val="28"/>
        </w:rPr>
        <w:t>Kontroverzní témata v reklamě – co nám nejvíce vadí</w:t>
      </w:r>
    </w:p>
    <w:p w:rsidR="005C5B0D" w:rsidRDefault="008F6883" w:rsidP="008F6883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                     </w:t>
      </w:r>
    </w:p>
    <w:p w:rsidR="005C5B0D" w:rsidRDefault="00B57E1C" w:rsidP="008F6883">
      <w:pPr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Mezi citlivá témata </w:t>
      </w:r>
      <w:r w:rsidR="005440BF" w:rsidRPr="00B712A8">
        <w:rPr>
          <w:rFonts w:ascii="Calibri" w:hAnsi="Calibri"/>
          <w:bCs/>
        </w:rPr>
        <w:t>patří</w:t>
      </w:r>
      <w:r w:rsidR="005440BF">
        <w:rPr>
          <w:rFonts w:ascii="Calibri" w:hAnsi="Calibri"/>
          <w:bCs/>
        </w:rPr>
        <w:t xml:space="preserve"> postoje k reklamě na cigarety, alkohol, léky a potravinové doplňky, které sledujeme již řadu let.  Vzhledem k aktuální diskuzi ve společnosti jsme zařadili v letošním roce i názory na </w:t>
      </w:r>
      <w:r w:rsidR="005440BF" w:rsidRPr="00581C71">
        <w:rPr>
          <w:rFonts w:ascii="Calibri" w:hAnsi="Calibri"/>
          <w:b/>
          <w:bCs/>
        </w:rPr>
        <w:t>náboženská témata</w:t>
      </w:r>
      <w:r w:rsidR="005440BF">
        <w:rPr>
          <w:rFonts w:ascii="Calibri" w:hAnsi="Calibri"/>
          <w:bCs/>
        </w:rPr>
        <w:t xml:space="preserve"> v reklamě. </w:t>
      </w:r>
      <w:r w:rsidR="00860EF6">
        <w:rPr>
          <w:rFonts w:ascii="Calibri" w:hAnsi="Calibri"/>
          <w:bCs/>
        </w:rPr>
        <w:t xml:space="preserve">Ta se zařadila mezi ty častěji odmítané. </w:t>
      </w:r>
    </w:p>
    <w:p w:rsidR="0021622C" w:rsidRPr="00860EF6" w:rsidRDefault="00860EF6" w:rsidP="00860EF6">
      <w:pPr>
        <w:rPr>
          <w:rFonts w:ascii="Calibri" w:hAnsi="Calibri"/>
          <w:b/>
          <w:bCs/>
        </w:rPr>
      </w:pPr>
      <w:r w:rsidRPr="00860EF6">
        <w:rPr>
          <w:rFonts w:ascii="Calibri" w:hAnsi="Calibri"/>
          <w:b/>
          <w:bCs/>
        </w:rPr>
        <w:t>Naprosto zakázat by si lidé nejčastěji přáli reklamu na cigar</w:t>
      </w:r>
      <w:r w:rsidR="00B57E1C">
        <w:rPr>
          <w:rFonts w:ascii="Calibri" w:hAnsi="Calibri"/>
          <w:b/>
          <w:bCs/>
        </w:rPr>
        <w:t xml:space="preserve">ety. S tím souhlasí téměř 30 % </w:t>
      </w:r>
      <w:r w:rsidRPr="00860EF6">
        <w:rPr>
          <w:rFonts w:ascii="Calibri" w:hAnsi="Calibri"/>
          <w:b/>
          <w:bCs/>
        </w:rPr>
        <w:t>populace.  Mírně ale převyšují názory, že reklamu na cigarety není třeba vůbec omezovat.</w:t>
      </w:r>
    </w:p>
    <w:p w:rsidR="005C1511" w:rsidRDefault="00BC0FF7" w:rsidP="00D840C6">
      <w:pPr>
        <w:rPr>
          <w:rFonts w:ascii="Calibri" w:hAnsi="Calibri"/>
          <w:bCs/>
        </w:rPr>
      </w:pPr>
      <w:r>
        <w:rPr>
          <w:rFonts w:ascii="Calibri" w:hAnsi="Calibri"/>
          <w:bCs/>
        </w:rPr>
        <w:t>Již tradičně jsou k tomuto typu reklam, především reklamě na cigarety</w:t>
      </w:r>
      <w:r w:rsidR="00B57E1C">
        <w:rPr>
          <w:rFonts w:ascii="Calibri" w:hAnsi="Calibri"/>
          <w:bCs/>
        </w:rPr>
        <w:t>,</w:t>
      </w:r>
      <w:r>
        <w:rPr>
          <w:rFonts w:ascii="Calibri" w:hAnsi="Calibri"/>
          <w:bCs/>
        </w:rPr>
        <w:t xml:space="preserve"> benevolentnější mu</w:t>
      </w:r>
      <w:r w:rsidR="00593FF2">
        <w:rPr>
          <w:rFonts w:ascii="Calibri" w:hAnsi="Calibri"/>
          <w:bCs/>
        </w:rPr>
        <w:t xml:space="preserve">ži a mladší věkové kategorie, </w:t>
      </w:r>
      <w:r>
        <w:rPr>
          <w:rFonts w:ascii="Calibri" w:hAnsi="Calibri"/>
          <w:bCs/>
        </w:rPr>
        <w:t>kterým nevadí natolik, aby požadovali jejich zákaz.</w:t>
      </w:r>
    </w:p>
    <w:p w:rsidR="005440BF" w:rsidRDefault="005440BF" w:rsidP="00D840C6">
      <w:pPr>
        <w:rPr>
          <w:rFonts w:ascii="Calibri" w:hAnsi="Calibri"/>
          <w:bCs/>
        </w:rPr>
      </w:pPr>
      <w:r>
        <w:rPr>
          <w:rFonts w:ascii="Calibri" w:hAnsi="Calibri"/>
          <w:bCs/>
        </w:rPr>
        <w:t>Samostatnou kategorií v předchozích letech byl dotaz na vnímání a přijímání erotických a sexuálních motivů v reklamě, které jsme v letošním roce zařadili mezi ostatní.</w:t>
      </w:r>
      <w:r w:rsidR="00860EF6">
        <w:rPr>
          <w:rFonts w:ascii="Calibri" w:hAnsi="Calibri"/>
          <w:bCs/>
        </w:rPr>
        <w:t xml:space="preserve"> Do letošního šetření se procento těch, kteří tuto reklamu zcela od</w:t>
      </w:r>
      <w:r w:rsidR="00812937">
        <w:rPr>
          <w:rFonts w:ascii="Calibri" w:hAnsi="Calibri"/>
          <w:bCs/>
        </w:rPr>
        <w:t xml:space="preserve">mítají (pobuřuje je) a vyžadují </w:t>
      </w:r>
      <w:r w:rsidR="00860EF6">
        <w:rPr>
          <w:rFonts w:ascii="Calibri" w:hAnsi="Calibri"/>
          <w:bCs/>
        </w:rPr>
        <w:t>její naprostý zákaz</w:t>
      </w:r>
      <w:r w:rsidR="00812937">
        <w:rPr>
          <w:rFonts w:ascii="Calibri" w:hAnsi="Calibri"/>
          <w:bCs/>
        </w:rPr>
        <w:t>,</w:t>
      </w:r>
      <w:r w:rsidR="00860EF6">
        <w:rPr>
          <w:rFonts w:ascii="Calibri" w:hAnsi="Calibri"/>
          <w:bCs/>
        </w:rPr>
        <w:t xml:space="preserve"> pohybovala mezi 6 – 9 %</w:t>
      </w:r>
      <w:r w:rsidR="00DF0116">
        <w:rPr>
          <w:rFonts w:ascii="Calibri" w:hAnsi="Calibri"/>
          <w:bCs/>
        </w:rPr>
        <w:t xml:space="preserve">, v letošním šetření tako krajní kategorie nebyla uvedena a zákaz „vyžaduje“ téměř čtvrtina populace. </w:t>
      </w:r>
      <w:r>
        <w:rPr>
          <w:rFonts w:ascii="Calibri" w:hAnsi="Calibri"/>
          <w:bCs/>
        </w:rPr>
        <w:t xml:space="preserve"> Zda posun po</w:t>
      </w:r>
      <w:r w:rsidR="00812937">
        <w:rPr>
          <w:rFonts w:ascii="Calibri" w:hAnsi="Calibri"/>
          <w:bCs/>
        </w:rPr>
        <w:t xml:space="preserve">stojů v této oblasti způsobila </w:t>
      </w:r>
      <w:r>
        <w:rPr>
          <w:rFonts w:ascii="Calibri" w:hAnsi="Calibri"/>
          <w:bCs/>
        </w:rPr>
        <w:t>změna metodiky</w:t>
      </w:r>
      <w:r w:rsidR="00860EF6">
        <w:rPr>
          <w:rFonts w:ascii="Calibri" w:hAnsi="Calibri"/>
          <w:bCs/>
        </w:rPr>
        <w:t>,</w:t>
      </w:r>
      <w:r>
        <w:rPr>
          <w:rFonts w:ascii="Calibri" w:hAnsi="Calibri"/>
          <w:bCs/>
        </w:rPr>
        <w:t xml:space="preserve"> nebo zda lidé skutečně tato témata častěji odmítají</w:t>
      </w:r>
      <w:r w:rsidR="00812937">
        <w:rPr>
          <w:rFonts w:ascii="Calibri" w:hAnsi="Calibri"/>
          <w:bCs/>
        </w:rPr>
        <w:t>,</w:t>
      </w:r>
      <w:r>
        <w:rPr>
          <w:rFonts w:ascii="Calibri" w:hAnsi="Calibri"/>
          <w:bCs/>
        </w:rPr>
        <w:t xml:space="preserve"> se ukáže až při dalším šetření. </w:t>
      </w:r>
      <w:r w:rsidR="00860EF6">
        <w:rPr>
          <w:rFonts w:ascii="Calibri" w:hAnsi="Calibri"/>
          <w:bCs/>
        </w:rPr>
        <w:t xml:space="preserve"> </w:t>
      </w:r>
    </w:p>
    <w:p w:rsidR="00860EF6" w:rsidRDefault="00860EF6" w:rsidP="00D840C6">
      <w:pPr>
        <w:rPr>
          <w:rFonts w:ascii="Calibri" w:hAnsi="Calibri"/>
          <w:bCs/>
        </w:rPr>
      </w:pPr>
      <w:r w:rsidRPr="00860EF6">
        <w:rPr>
          <w:rFonts w:ascii="Calibri" w:hAnsi="Calibri"/>
          <w:b/>
          <w:bCs/>
        </w:rPr>
        <w:t>Celkově jsme my Češi k uvedeným tématům stále benevolentnější</w:t>
      </w:r>
      <w:r>
        <w:rPr>
          <w:rFonts w:ascii="Calibri" w:hAnsi="Calibri"/>
          <w:bCs/>
        </w:rPr>
        <w:t xml:space="preserve">. Projevuje se to hlavně </w:t>
      </w:r>
      <w:r w:rsidR="00F74AEC">
        <w:rPr>
          <w:rFonts w:ascii="Calibri" w:hAnsi="Calibri"/>
          <w:bCs/>
        </w:rPr>
        <w:br/>
      </w:r>
      <w:r>
        <w:rPr>
          <w:rFonts w:ascii="Calibri" w:hAnsi="Calibri"/>
          <w:bCs/>
        </w:rPr>
        <w:t xml:space="preserve">u reklamy na pivo, víno a volně prodejné léky. Tam je tolerance dlouhodobá. </w:t>
      </w:r>
    </w:p>
    <w:p w:rsidR="00492AA4" w:rsidRDefault="00492AA4" w:rsidP="00D840C6">
      <w:pPr>
        <w:rPr>
          <w:rFonts w:ascii="Calibri" w:hAnsi="Calibri"/>
          <w:bCs/>
        </w:rPr>
      </w:pPr>
    </w:p>
    <w:p w:rsidR="00492AA4" w:rsidRDefault="00A608D4" w:rsidP="00D840C6">
      <w:pPr>
        <w:rPr>
          <w:rFonts w:ascii="Calibri" w:hAnsi="Calibri"/>
          <w:bCs/>
        </w:rPr>
      </w:pPr>
      <w:r w:rsidRPr="00A608D4">
        <w:rPr>
          <w:rFonts w:ascii="Calibri" w:hAnsi="Calibri"/>
          <w:bCs/>
          <w:noProof/>
        </w:rPr>
        <w:lastRenderedPageBreak/>
        <w:drawing>
          <wp:inline distT="0" distB="0" distL="0" distR="0">
            <wp:extent cx="5724525" cy="3400425"/>
            <wp:effectExtent l="19050" t="0" r="9525" b="0"/>
            <wp:docPr id="4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57E1C" w:rsidRDefault="00B57E1C" w:rsidP="00D840C6">
      <w:pPr>
        <w:rPr>
          <w:rFonts w:ascii="Calibri" w:hAnsi="Calibri"/>
          <w:bCs/>
        </w:rPr>
      </w:pPr>
    </w:p>
    <w:p w:rsidR="005C1511" w:rsidRDefault="00812937" w:rsidP="00D840C6">
      <w:pPr>
        <w:rPr>
          <w:rFonts w:ascii="Calibri" w:hAnsi="Calibri"/>
          <w:bCs/>
        </w:rPr>
      </w:pPr>
      <w:r>
        <w:rPr>
          <w:rFonts w:ascii="Calibri" w:hAnsi="Calibri"/>
          <w:bCs/>
        </w:rPr>
        <w:t>Na základě postojů</w:t>
      </w:r>
      <w:r w:rsidR="00581C71">
        <w:rPr>
          <w:rFonts w:ascii="Calibri" w:hAnsi="Calibri"/>
          <w:bCs/>
        </w:rPr>
        <w:t>, hlavně ke kontroverzním tématům v reklamě, můžeme naši populaci rozdělit do čtyř základních segmentů.</w:t>
      </w:r>
      <w:r w:rsidR="004F650D">
        <w:rPr>
          <w:rFonts w:ascii="Calibri" w:hAnsi="Calibri"/>
          <w:bCs/>
        </w:rPr>
        <w:t xml:space="preserve"> Tyto postoje se projevují v tom, zda lidé přijímají reklamu jako zdroj informací, které jim při nákupu pomáhají</w:t>
      </w:r>
      <w:r w:rsidR="006A4755">
        <w:rPr>
          <w:rFonts w:ascii="Calibri" w:hAnsi="Calibri"/>
          <w:bCs/>
        </w:rPr>
        <w:t>,</w:t>
      </w:r>
      <w:r>
        <w:rPr>
          <w:rFonts w:ascii="Calibri" w:hAnsi="Calibri"/>
          <w:bCs/>
        </w:rPr>
        <w:t xml:space="preserve"> </w:t>
      </w:r>
      <w:r w:rsidR="004F650D">
        <w:rPr>
          <w:rFonts w:ascii="Calibri" w:hAnsi="Calibri"/>
          <w:bCs/>
        </w:rPr>
        <w:t xml:space="preserve">a zda přiznávají, že reklama jejich nákupy ovlivňuje. </w:t>
      </w:r>
    </w:p>
    <w:p w:rsidR="004F650D" w:rsidRDefault="004F650D" w:rsidP="00D840C6">
      <w:pPr>
        <w:rPr>
          <w:rFonts w:ascii="Calibri" w:hAnsi="Calibri"/>
          <w:bCs/>
        </w:rPr>
      </w:pPr>
    </w:p>
    <w:p w:rsidR="004F650D" w:rsidRDefault="004F650D" w:rsidP="00D840C6">
      <w:pPr>
        <w:rPr>
          <w:rFonts w:ascii="Calibri" w:hAnsi="Calibri"/>
          <w:bCs/>
        </w:rPr>
      </w:pPr>
      <w:r>
        <w:rPr>
          <w:rFonts w:ascii="Calibri" w:hAnsi="Calibri"/>
          <w:b/>
          <w:bCs/>
        </w:rPr>
        <w:t>Postoje k reklamě rozdělují českou populaci</w:t>
      </w:r>
      <w:r w:rsidRPr="004F650D">
        <w:rPr>
          <w:rFonts w:ascii="Calibri" w:hAnsi="Calibri"/>
          <w:b/>
          <w:bCs/>
        </w:rPr>
        <w:t xml:space="preserve"> na 4 segmenty</w:t>
      </w:r>
    </w:p>
    <w:p w:rsidR="004F650D" w:rsidRPr="00581C71" w:rsidRDefault="004F650D" w:rsidP="001023B8">
      <w:pPr>
        <w:rPr>
          <w:rFonts w:ascii="Calibri" w:hAnsi="Calibri"/>
          <w:b/>
          <w:bCs/>
          <w:i/>
        </w:rPr>
      </w:pPr>
    </w:p>
    <w:p w:rsidR="000C5E43" w:rsidRDefault="00A608D4" w:rsidP="001023B8">
      <w:pPr>
        <w:rPr>
          <w:rFonts w:ascii="Calibri" w:hAnsi="Calibri"/>
          <w:b/>
          <w:bCs/>
          <w:i/>
        </w:rPr>
      </w:pPr>
      <w:r w:rsidRPr="00A608D4">
        <w:rPr>
          <w:rFonts w:ascii="Calibri" w:hAnsi="Calibri"/>
          <w:b/>
          <w:bCs/>
          <w:i/>
          <w:noProof/>
        </w:rPr>
        <w:drawing>
          <wp:inline distT="0" distB="0" distL="0" distR="0">
            <wp:extent cx="3457575" cy="3333750"/>
            <wp:effectExtent l="19050" t="0" r="9525" b="0"/>
            <wp:docPr id="10" name="Graf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74AEC" w:rsidRDefault="00F74AEC" w:rsidP="001023B8">
      <w:pPr>
        <w:rPr>
          <w:rFonts w:ascii="Calibri" w:hAnsi="Calibri"/>
          <w:b/>
          <w:bCs/>
          <w:i/>
        </w:rPr>
        <w:sectPr w:rsidR="00F74AEC" w:rsidSect="000F137B">
          <w:footerReference w:type="even" r:id="rId17"/>
          <w:footerReference w:type="default" r:id="rId18"/>
          <w:pgSz w:w="11906" w:h="16838"/>
          <w:pgMar w:top="993" w:right="1133" w:bottom="1702" w:left="1417" w:header="708" w:footer="708" w:gutter="0"/>
          <w:cols w:space="708"/>
          <w:docGrid w:linePitch="360"/>
        </w:sectPr>
      </w:pPr>
    </w:p>
    <w:p w:rsidR="001023B8" w:rsidRPr="002D2BF4" w:rsidRDefault="001023B8" w:rsidP="001023B8">
      <w:pPr>
        <w:rPr>
          <w:rFonts w:ascii="Calibri" w:hAnsi="Calibri"/>
          <w:b/>
          <w:bCs/>
          <w:i/>
        </w:rPr>
      </w:pPr>
      <w:r w:rsidRPr="002D2BF4">
        <w:rPr>
          <w:rFonts w:ascii="Calibri" w:hAnsi="Calibri"/>
          <w:b/>
          <w:bCs/>
          <w:i/>
        </w:rPr>
        <w:lastRenderedPageBreak/>
        <w:t>doc. PhDr. Jitka Vysekalová, Ph.D.</w:t>
      </w:r>
    </w:p>
    <w:p w:rsidR="001023B8" w:rsidRPr="002D2BF4" w:rsidRDefault="001023B8" w:rsidP="001023B8">
      <w:pPr>
        <w:rPr>
          <w:rFonts w:ascii="Calibri" w:hAnsi="Calibri"/>
          <w:b/>
          <w:bCs/>
          <w:i/>
        </w:rPr>
      </w:pPr>
      <w:r w:rsidRPr="002D2BF4">
        <w:rPr>
          <w:rFonts w:ascii="Calibri" w:hAnsi="Calibri"/>
          <w:b/>
          <w:bCs/>
          <w:i/>
        </w:rPr>
        <w:t>prezidentka ČMS</w:t>
      </w:r>
    </w:p>
    <w:p w:rsidR="001023B8" w:rsidRDefault="009871B9" w:rsidP="001023B8">
      <w:pPr>
        <w:rPr>
          <w:rFonts w:ascii="Calibri" w:hAnsi="Calibri"/>
          <w:b/>
          <w:bCs/>
          <w:i/>
        </w:rPr>
      </w:pPr>
      <w:hyperlink r:id="rId19" w:history="1">
        <w:r w:rsidR="00664CEC" w:rsidRPr="00AF7B37">
          <w:rPr>
            <w:rStyle w:val="Hypertextovodkaz"/>
            <w:rFonts w:ascii="Calibri" w:hAnsi="Calibri"/>
            <w:b/>
            <w:bCs/>
            <w:i/>
          </w:rPr>
          <w:t>vysekalova@cms-cma.cz</w:t>
        </w:r>
      </w:hyperlink>
    </w:p>
    <w:p w:rsidR="00664CEC" w:rsidRDefault="00664CEC" w:rsidP="001023B8">
      <w:pPr>
        <w:rPr>
          <w:rFonts w:ascii="Calibri" w:hAnsi="Calibri"/>
          <w:b/>
          <w:bCs/>
          <w:i/>
        </w:rPr>
      </w:pPr>
    </w:p>
    <w:p w:rsidR="00664CEC" w:rsidRPr="00664CEC" w:rsidRDefault="00664CEC" w:rsidP="001023B8">
      <w:pPr>
        <w:rPr>
          <w:rFonts w:asciiTheme="minorHAnsi" w:hAnsiTheme="minorHAnsi"/>
          <w:b/>
          <w:i/>
        </w:rPr>
      </w:pPr>
      <w:r w:rsidRPr="00664CEC">
        <w:rPr>
          <w:rFonts w:asciiTheme="minorHAnsi" w:hAnsiTheme="minorHAnsi"/>
          <w:b/>
          <w:i/>
        </w:rPr>
        <w:lastRenderedPageBreak/>
        <w:t xml:space="preserve">Ing. Renáta Doležilová </w:t>
      </w:r>
    </w:p>
    <w:p w:rsidR="00664CEC" w:rsidRPr="00664CEC" w:rsidRDefault="00664CEC" w:rsidP="001023B8">
      <w:pPr>
        <w:rPr>
          <w:rFonts w:asciiTheme="minorHAnsi" w:hAnsiTheme="minorHAnsi"/>
          <w:b/>
          <w:i/>
        </w:rPr>
      </w:pPr>
      <w:proofErr w:type="spellStart"/>
      <w:r w:rsidRPr="00664CEC">
        <w:rPr>
          <w:rFonts w:asciiTheme="minorHAnsi" w:hAnsiTheme="minorHAnsi"/>
          <w:b/>
          <w:i/>
        </w:rPr>
        <w:t>Head</w:t>
      </w:r>
      <w:proofErr w:type="spellEnd"/>
      <w:r w:rsidRPr="00664CEC">
        <w:rPr>
          <w:rFonts w:asciiTheme="minorHAnsi" w:hAnsiTheme="minorHAnsi"/>
          <w:b/>
          <w:i/>
        </w:rPr>
        <w:t xml:space="preserve"> </w:t>
      </w:r>
      <w:proofErr w:type="spellStart"/>
      <w:r w:rsidRPr="00664CEC">
        <w:rPr>
          <w:rFonts w:asciiTheme="minorHAnsi" w:hAnsiTheme="minorHAnsi"/>
          <w:b/>
          <w:i/>
        </w:rPr>
        <w:t>of</w:t>
      </w:r>
      <w:proofErr w:type="spellEnd"/>
      <w:r w:rsidRPr="00664CEC">
        <w:rPr>
          <w:rFonts w:asciiTheme="minorHAnsi" w:hAnsiTheme="minorHAnsi"/>
          <w:b/>
          <w:i/>
        </w:rPr>
        <w:t xml:space="preserve"> </w:t>
      </w:r>
      <w:proofErr w:type="spellStart"/>
      <w:r w:rsidRPr="00664CEC">
        <w:rPr>
          <w:rFonts w:asciiTheme="minorHAnsi" w:hAnsiTheme="minorHAnsi"/>
          <w:b/>
          <w:i/>
        </w:rPr>
        <w:t>Consumer</w:t>
      </w:r>
      <w:proofErr w:type="spellEnd"/>
      <w:r w:rsidRPr="00664CEC">
        <w:rPr>
          <w:rFonts w:asciiTheme="minorHAnsi" w:hAnsiTheme="minorHAnsi"/>
          <w:b/>
          <w:i/>
        </w:rPr>
        <w:t xml:space="preserve"> and Retail </w:t>
      </w:r>
      <w:proofErr w:type="spellStart"/>
      <w:r w:rsidRPr="00664CEC">
        <w:rPr>
          <w:rFonts w:asciiTheme="minorHAnsi" w:hAnsiTheme="minorHAnsi"/>
          <w:b/>
          <w:i/>
        </w:rPr>
        <w:t>Research</w:t>
      </w:r>
      <w:proofErr w:type="spellEnd"/>
      <w:r w:rsidRPr="00664CEC">
        <w:rPr>
          <w:rFonts w:asciiTheme="minorHAnsi" w:hAnsiTheme="minorHAnsi"/>
          <w:b/>
          <w:i/>
        </w:rPr>
        <w:t xml:space="preserve"> </w:t>
      </w:r>
    </w:p>
    <w:p w:rsidR="0056789F" w:rsidRPr="00A608D4" w:rsidRDefault="00664CEC" w:rsidP="00D840C6">
      <w:pPr>
        <w:rPr>
          <w:rFonts w:asciiTheme="minorHAnsi" w:hAnsiTheme="minorHAnsi"/>
          <w:b/>
          <w:i/>
        </w:rPr>
      </w:pPr>
      <w:r w:rsidRPr="00664CEC">
        <w:rPr>
          <w:rFonts w:asciiTheme="minorHAnsi" w:hAnsiTheme="minorHAnsi"/>
          <w:b/>
          <w:i/>
        </w:rPr>
        <w:t xml:space="preserve"> </w:t>
      </w:r>
      <w:r w:rsidRPr="00A608D4">
        <w:rPr>
          <w:rFonts w:asciiTheme="minorHAnsi" w:hAnsiTheme="minorHAnsi"/>
          <w:b/>
          <w:i/>
        </w:rPr>
        <w:t>dolezilova@ppmfactum.cz</w:t>
      </w:r>
    </w:p>
    <w:sectPr w:rsidR="0056789F" w:rsidRPr="00A608D4" w:rsidSect="00F74AEC">
      <w:type w:val="continuous"/>
      <w:pgSz w:w="11906" w:h="16838"/>
      <w:pgMar w:top="993" w:right="1133" w:bottom="1702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1B9" w:rsidRDefault="009871B9">
      <w:r>
        <w:separator/>
      </w:r>
    </w:p>
  </w:endnote>
  <w:endnote w:type="continuationSeparator" w:id="0">
    <w:p w:rsidR="009871B9" w:rsidRDefault="009871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90F" w:rsidRDefault="0090281F" w:rsidP="00B1190F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B1190F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B1190F" w:rsidRDefault="00B1190F" w:rsidP="00B1190F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B7" w:rsidRDefault="0090281F">
    <w:pPr>
      <w:pStyle w:val="Zpat"/>
      <w:jc w:val="center"/>
    </w:pPr>
    <w:r>
      <w:fldChar w:fldCharType="begin"/>
    </w:r>
    <w:r w:rsidR="00686EB7">
      <w:instrText xml:space="preserve"> PAGE   \* MERGEFORMAT </w:instrText>
    </w:r>
    <w:r>
      <w:fldChar w:fldCharType="separate"/>
    </w:r>
    <w:r w:rsidR="00FC7519">
      <w:rPr>
        <w:noProof/>
      </w:rPr>
      <w:t>4</w:t>
    </w:r>
    <w:r>
      <w:fldChar w:fldCharType="end"/>
    </w:r>
  </w:p>
  <w:p w:rsidR="00B1190F" w:rsidRDefault="00B1190F" w:rsidP="00B1190F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1B9" w:rsidRDefault="009871B9">
      <w:r>
        <w:separator/>
      </w:r>
    </w:p>
  </w:footnote>
  <w:footnote w:type="continuationSeparator" w:id="0">
    <w:p w:rsidR="009871B9" w:rsidRDefault="009871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4pt;height:11.4pt" o:bullet="t">
        <v:imagedata r:id="rId1" o:title="clip_image001"/>
      </v:shape>
    </w:pict>
  </w:numPicBullet>
  <w:abstractNum w:abstractNumId="0">
    <w:nsid w:val="01AD06CD"/>
    <w:multiLevelType w:val="hybridMultilevel"/>
    <w:tmpl w:val="2C5E8350"/>
    <w:lvl w:ilvl="0" w:tplc="26F87C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D4CFC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00622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544B3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2887B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C9E6FC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B4B2F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4EA69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C0D5C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5BE7D00"/>
    <w:multiLevelType w:val="hybridMultilevel"/>
    <w:tmpl w:val="848A2C06"/>
    <w:lvl w:ilvl="0" w:tplc="4DFE6DC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F90F55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24480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1AE2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52897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F018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3CEC1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82C29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BE68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E804C4"/>
    <w:multiLevelType w:val="hybridMultilevel"/>
    <w:tmpl w:val="F6DCFEB8"/>
    <w:lvl w:ilvl="0" w:tplc="5BB238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3E48B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EEE39E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9470C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00FBB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BC0BD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58A16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FAAD2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70278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B0858F9"/>
    <w:multiLevelType w:val="hybridMultilevel"/>
    <w:tmpl w:val="1F602F7C"/>
    <w:lvl w:ilvl="0" w:tplc="02C24F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76C94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583AF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B0E896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A8320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84276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7675B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C8FAD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700CE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0B4D3CF3"/>
    <w:multiLevelType w:val="hybridMultilevel"/>
    <w:tmpl w:val="0EB0E426"/>
    <w:lvl w:ilvl="0" w:tplc="31D89A1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4EAD76C" w:tentative="1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F3A0892" w:tentative="1">
      <w:start w:val="1"/>
      <w:numFmt w:val="bullet"/>
      <w:lvlText w:val=""/>
      <w:lvlPicBulletId w:val="0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E0A5562" w:tentative="1">
      <w:start w:val="1"/>
      <w:numFmt w:val="bullet"/>
      <w:lvlText w:val=""/>
      <w:lvlPicBulletId w:val="0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6FA8CE0" w:tentative="1">
      <w:start w:val="1"/>
      <w:numFmt w:val="bullet"/>
      <w:lvlText w:val=""/>
      <w:lvlPicBulletId w:val="0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14A4F74" w:tentative="1">
      <w:start w:val="1"/>
      <w:numFmt w:val="bullet"/>
      <w:lvlText w:val=""/>
      <w:lvlPicBulletId w:val="0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C52935E" w:tentative="1">
      <w:start w:val="1"/>
      <w:numFmt w:val="bullet"/>
      <w:lvlText w:val=""/>
      <w:lvlPicBulletId w:val="0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F16EBC2" w:tentative="1">
      <w:start w:val="1"/>
      <w:numFmt w:val="bullet"/>
      <w:lvlText w:val=""/>
      <w:lvlPicBulletId w:val="0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A66D190" w:tentative="1">
      <w:start w:val="1"/>
      <w:numFmt w:val="bullet"/>
      <w:lvlText w:val=""/>
      <w:lvlPicBulletId w:val="0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">
    <w:nsid w:val="0E8F3EF0"/>
    <w:multiLevelType w:val="hybridMultilevel"/>
    <w:tmpl w:val="6A92E180"/>
    <w:lvl w:ilvl="0" w:tplc="C0FE495E">
      <w:start w:val="1"/>
      <w:numFmt w:val="bullet"/>
      <w:lvlText w:val=""/>
      <w:lvlPicBulletId w:val="0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10B65637"/>
    <w:multiLevelType w:val="hybridMultilevel"/>
    <w:tmpl w:val="7D0A44D6"/>
    <w:lvl w:ilvl="0" w:tplc="126863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DEAF0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8870F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F0E09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7A952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5245D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75ACC2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0861B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776565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194F2A75"/>
    <w:multiLevelType w:val="hybridMultilevel"/>
    <w:tmpl w:val="EE2CC0D0"/>
    <w:lvl w:ilvl="0" w:tplc="5E4608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0AA6B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ECF65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3E66E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34A11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40E698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32E10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86DF3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38C49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C523847"/>
    <w:multiLevelType w:val="hybridMultilevel"/>
    <w:tmpl w:val="B816B2E8"/>
    <w:lvl w:ilvl="0" w:tplc="C0FE495E">
      <w:start w:val="1"/>
      <w:numFmt w:val="bullet"/>
      <w:lvlText w:val=""/>
      <w:lvlPicBulletId w:val="0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1D587033"/>
    <w:multiLevelType w:val="hybridMultilevel"/>
    <w:tmpl w:val="33F21DCE"/>
    <w:lvl w:ilvl="0" w:tplc="B9D48B9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00E8A4">
      <w:start w:val="998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445C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CAE08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A64C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C0AC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645A8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202D5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A89B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D8530B2"/>
    <w:multiLevelType w:val="hybridMultilevel"/>
    <w:tmpl w:val="B3983A28"/>
    <w:lvl w:ilvl="0" w:tplc="90DCD3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F880F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BC6E0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D304EC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E6C1B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4488E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2A751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46505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425B1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1E0A25FD"/>
    <w:multiLevelType w:val="hybridMultilevel"/>
    <w:tmpl w:val="329E51F2"/>
    <w:lvl w:ilvl="0" w:tplc="23BC4D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06411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D4CC1C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E2DB6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DA77E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72CB6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D09C0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027EB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C2E39F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1F91349D"/>
    <w:multiLevelType w:val="multilevel"/>
    <w:tmpl w:val="19B8F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>
    <w:nsid w:val="1F9147D3"/>
    <w:multiLevelType w:val="hybridMultilevel"/>
    <w:tmpl w:val="6D467F9A"/>
    <w:lvl w:ilvl="0" w:tplc="ABA2D5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EA6C9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5C8C0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66D8B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B6A50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EEEDE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04763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9C611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A8582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22D87C14"/>
    <w:multiLevelType w:val="hybridMultilevel"/>
    <w:tmpl w:val="AFF4D5F4"/>
    <w:lvl w:ilvl="0" w:tplc="7D4A098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9235E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B0A04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605F9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90950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EA1A7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309C5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CEE6D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70CD4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243366B9"/>
    <w:multiLevelType w:val="hybridMultilevel"/>
    <w:tmpl w:val="43160BEC"/>
    <w:lvl w:ilvl="0" w:tplc="A5928418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B06372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EA855C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50E168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383ADE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3C524C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2ABC2C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FEAF4A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EE760E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5AA3021"/>
    <w:multiLevelType w:val="hybridMultilevel"/>
    <w:tmpl w:val="3462F91A"/>
    <w:lvl w:ilvl="0" w:tplc="1C0E96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825FA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58C1F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002BF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1AFA9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CE26A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AE11E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E755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4C70A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27825EEB"/>
    <w:multiLevelType w:val="hybridMultilevel"/>
    <w:tmpl w:val="57F61366"/>
    <w:lvl w:ilvl="0" w:tplc="AD82FD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0ACE2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F0347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C06AA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CA2C9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8ECFF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CC43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C082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9AF17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2B5A67BC"/>
    <w:multiLevelType w:val="hybridMultilevel"/>
    <w:tmpl w:val="E408A9A4"/>
    <w:lvl w:ilvl="0" w:tplc="C0FE495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3E58BD"/>
    <w:multiLevelType w:val="hybridMultilevel"/>
    <w:tmpl w:val="0226E784"/>
    <w:lvl w:ilvl="0" w:tplc="61DC93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0A147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46993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A2C63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F4D4F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44B93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672316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5E75D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3247F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32BC1EE3"/>
    <w:multiLevelType w:val="hybridMultilevel"/>
    <w:tmpl w:val="2CAACE98"/>
    <w:lvl w:ilvl="0" w:tplc="36CA478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BA19C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7CC66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02C1B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FC284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6CA14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DE6F1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F2581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AC758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35107131"/>
    <w:multiLevelType w:val="hybridMultilevel"/>
    <w:tmpl w:val="64487616"/>
    <w:lvl w:ilvl="0" w:tplc="C0FE49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24936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54FBD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78506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E682B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30F83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E62C3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62DBE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7834A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368A089B"/>
    <w:multiLevelType w:val="hybridMultilevel"/>
    <w:tmpl w:val="A282CCAC"/>
    <w:lvl w:ilvl="0" w:tplc="C0FE495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984298"/>
    <w:multiLevelType w:val="hybridMultilevel"/>
    <w:tmpl w:val="F0D6C148"/>
    <w:lvl w:ilvl="0" w:tplc="7870C3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8CD21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B4810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10003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2C30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60135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9EB22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0043E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62821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3AED5DCB"/>
    <w:multiLevelType w:val="hybridMultilevel"/>
    <w:tmpl w:val="D976262E"/>
    <w:lvl w:ilvl="0" w:tplc="2A80D6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8E531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0A751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54870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1AD6F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86379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4AF7B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E25FF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D6580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3CE145AB"/>
    <w:multiLevelType w:val="hybridMultilevel"/>
    <w:tmpl w:val="D83046BC"/>
    <w:lvl w:ilvl="0" w:tplc="C0FE495E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3F7810D3"/>
    <w:multiLevelType w:val="hybridMultilevel"/>
    <w:tmpl w:val="3AE84938"/>
    <w:lvl w:ilvl="0" w:tplc="619287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40454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6EA6B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B8C34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AC163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55632E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1862D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6CFE2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A4538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472231D6"/>
    <w:multiLevelType w:val="hybridMultilevel"/>
    <w:tmpl w:val="52B4497C"/>
    <w:lvl w:ilvl="0" w:tplc="ABD82D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9875D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30A8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6FA9DE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EC1F6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78F7D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F61BC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D8E16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BEB21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4A101F27"/>
    <w:multiLevelType w:val="hybridMultilevel"/>
    <w:tmpl w:val="12D243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5E14C7"/>
    <w:multiLevelType w:val="hybridMultilevel"/>
    <w:tmpl w:val="B7061398"/>
    <w:lvl w:ilvl="0" w:tplc="C0FE495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B67D94"/>
    <w:multiLevelType w:val="hybridMultilevel"/>
    <w:tmpl w:val="C4848184"/>
    <w:lvl w:ilvl="0" w:tplc="31ECB2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03AA30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32ABF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E8734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9AE6C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2C9E4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D08299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8C92E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24043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530A7952"/>
    <w:multiLevelType w:val="hybridMultilevel"/>
    <w:tmpl w:val="39ACF480"/>
    <w:lvl w:ilvl="0" w:tplc="6D4422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FC2BA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18960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949E6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9CEC5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D4894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DEA17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2434B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A299B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535A6DA7"/>
    <w:multiLevelType w:val="hybridMultilevel"/>
    <w:tmpl w:val="02F48E5E"/>
    <w:lvl w:ilvl="0" w:tplc="1C006F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EE32C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DEFA5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8ED67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2C509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44344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3C1AE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5047A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A0D37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54395700"/>
    <w:multiLevelType w:val="hybridMultilevel"/>
    <w:tmpl w:val="E94CB70C"/>
    <w:lvl w:ilvl="0" w:tplc="0054D9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54AB1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4A2C1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34389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50ABD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76FCC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4E6A7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C6878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02DB4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>
    <w:nsid w:val="576C0466"/>
    <w:multiLevelType w:val="hybridMultilevel"/>
    <w:tmpl w:val="C0C016FE"/>
    <w:lvl w:ilvl="0" w:tplc="7E54E6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1E23F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D2866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78C8F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B6CF6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32089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3DC567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58E4B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C20DE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>
    <w:nsid w:val="63742743"/>
    <w:multiLevelType w:val="hybridMultilevel"/>
    <w:tmpl w:val="C02E56FE"/>
    <w:lvl w:ilvl="0" w:tplc="AE1E3F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0E669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7CE6C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BA595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F84FA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2413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12971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9A869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80091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640E366B"/>
    <w:multiLevelType w:val="hybridMultilevel"/>
    <w:tmpl w:val="C3C4B5BE"/>
    <w:lvl w:ilvl="0" w:tplc="D90059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8676E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48CF7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8C765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C868B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AC9AE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00D3F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A6867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34B4B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>
    <w:nsid w:val="65AD7D16"/>
    <w:multiLevelType w:val="hybridMultilevel"/>
    <w:tmpl w:val="25CA2678"/>
    <w:lvl w:ilvl="0" w:tplc="42D083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6AE7B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3E808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8A067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28B82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B96C4A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A6757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301F6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A2231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70E14269"/>
    <w:multiLevelType w:val="hybridMultilevel"/>
    <w:tmpl w:val="049C3090"/>
    <w:lvl w:ilvl="0" w:tplc="8AEE65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009D1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2A838F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98463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A4CC2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A4370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561B1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B2CB4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CEDA8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>
    <w:nsid w:val="74A53446"/>
    <w:multiLevelType w:val="hybridMultilevel"/>
    <w:tmpl w:val="33966E6C"/>
    <w:lvl w:ilvl="0" w:tplc="828003F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94F68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D4924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8045A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2C878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72BF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E2206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3277D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A264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8954347"/>
    <w:multiLevelType w:val="hybridMultilevel"/>
    <w:tmpl w:val="80604A70"/>
    <w:lvl w:ilvl="0" w:tplc="3DB0DB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38DB2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D2637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99CC01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9E2C0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065CF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4482C8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82500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D4CD1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>
    <w:nsid w:val="79601DC5"/>
    <w:multiLevelType w:val="hybridMultilevel"/>
    <w:tmpl w:val="3230C7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276931"/>
    <w:multiLevelType w:val="hybridMultilevel"/>
    <w:tmpl w:val="B3D46E08"/>
    <w:lvl w:ilvl="0" w:tplc="910E6A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DE58D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BB8013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BC77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8AC41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86B23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36671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72245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481B2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1"/>
  </w:num>
  <w:num w:numId="2">
    <w:abstractNumId w:val="7"/>
  </w:num>
  <w:num w:numId="3">
    <w:abstractNumId w:val="23"/>
  </w:num>
  <w:num w:numId="4">
    <w:abstractNumId w:val="25"/>
  </w:num>
  <w:num w:numId="5">
    <w:abstractNumId w:val="8"/>
  </w:num>
  <w:num w:numId="6">
    <w:abstractNumId w:val="41"/>
  </w:num>
  <w:num w:numId="7">
    <w:abstractNumId w:val="32"/>
  </w:num>
  <w:num w:numId="8">
    <w:abstractNumId w:val="0"/>
  </w:num>
  <w:num w:numId="9">
    <w:abstractNumId w:val="6"/>
  </w:num>
  <w:num w:numId="10">
    <w:abstractNumId w:val="17"/>
  </w:num>
  <w:num w:numId="11">
    <w:abstractNumId w:val="29"/>
  </w:num>
  <w:num w:numId="12">
    <w:abstractNumId w:val="5"/>
  </w:num>
  <w:num w:numId="13">
    <w:abstractNumId w:val="22"/>
  </w:num>
  <w:num w:numId="14">
    <w:abstractNumId w:val="18"/>
  </w:num>
  <w:num w:numId="15">
    <w:abstractNumId w:val="40"/>
  </w:num>
  <w:num w:numId="16">
    <w:abstractNumId w:val="13"/>
  </w:num>
  <w:num w:numId="17">
    <w:abstractNumId w:val="37"/>
  </w:num>
  <w:num w:numId="18">
    <w:abstractNumId w:val="11"/>
  </w:num>
  <w:num w:numId="19">
    <w:abstractNumId w:val="4"/>
  </w:num>
  <w:num w:numId="20">
    <w:abstractNumId w:val="14"/>
  </w:num>
  <w:num w:numId="21">
    <w:abstractNumId w:val="16"/>
  </w:num>
  <w:num w:numId="22">
    <w:abstractNumId w:val="27"/>
  </w:num>
  <w:num w:numId="23">
    <w:abstractNumId w:val="33"/>
  </w:num>
  <w:num w:numId="24">
    <w:abstractNumId w:val="2"/>
  </w:num>
  <w:num w:numId="25">
    <w:abstractNumId w:val="31"/>
  </w:num>
  <w:num w:numId="26">
    <w:abstractNumId w:val="3"/>
  </w:num>
  <w:num w:numId="27">
    <w:abstractNumId w:val="20"/>
  </w:num>
  <w:num w:numId="28">
    <w:abstractNumId w:val="38"/>
  </w:num>
  <w:num w:numId="29">
    <w:abstractNumId w:val="10"/>
  </w:num>
  <w:num w:numId="30">
    <w:abstractNumId w:val="42"/>
  </w:num>
  <w:num w:numId="31">
    <w:abstractNumId w:val="26"/>
  </w:num>
  <w:num w:numId="32">
    <w:abstractNumId w:val="28"/>
  </w:num>
  <w:num w:numId="33">
    <w:abstractNumId w:val="30"/>
  </w:num>
  <w:num w:numId="34">
    <w:abstractNumId w:val="34"/>
  </w:num>
  <w:num w:numId="35">
    <w:abstractNumId w:val="19"/>
  </w:num>
  <w:num w:numId="36">
    <w:abstractNumId w:val="35"/>
  </w:num>
  <w:num w:numId="37">
    <w:abstractNumId w:val="24"/>
  </w:num>
  <w:num w:numId="38">
    <w:abstractNumId w:val="36"/>
  </w:num>
  <w:num w:numId="39">
    <w:abstractNumId w:val="9"/>
  </w:num>
  <w:num w:numId="40">
    <w:abstractNumId w:val="1"/>
  </w:num>
  <w:num w:numId="41">
    <w:abstractNumId w:val="39"/>
  </w:num>
  <w:num w:numId="42">
    <w:abstractNumId w:val="12"/>
  </w:num>
  <w:num w:numId="4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0C6"/>
    <w:rsid w:val="0003474D"/>
    <w:rsid w:val="00052225"/>
    <w:rsid w:val="00055962"/>
    <w:rsid w:val="000621F8"/>
    <w:rsid w:val="00063613"/>
    <w:rsid w:val="000663FF"/>
    <w:rsid w:val="000716EA"/>
    <w:rsid w:val="000770B4"/>
    <w:rsid w:val="000A1747"/>
    <w:rsid w:val="000B2F7B"/>
    <w:rsid w:val="000C58F0"/>
    <w:rsid w:val="000C5E43"/>
    <w:rsid w:val="000E243E"/>
    <w:rsid w:val="000F137B"/>
    <w:rsid w:val="000F314B"/>
    <w:rsid w:val="0010212C"/>
    <w:rsid w:val="001023B8"/>
    <w:rsid w:val="00116BC7"/>
    <w:rsid w:val="001226E5"/>
    <w:rsid w:val="001268B3"/>
    <w:rsid w:val="00145328"/>
    <w:rsid w:val="00172584"/>
    <w:rsid w:val="00175372"/>
    <w:rsid w:val="00175CEA"/>
    <w:rsid w:val="001D1239"/>
    <w:rsid w:val="001E44EF"/>
    <w:rsid w:val="001E67B9"/>
    <w:rsid w:val="001E785D"/>
    <w:rsid w:val="001F11BF"/>
    <w:rsid w:val="001F3D0D"/>
    <w:rsid w:val="00200203"/>
    <w:rsid w:val="00203FA0"/>
    <w:rsid w:val="002062F6"/>
    <w:rsid w:val="0021622C"/>
    <w:rsid w:val="00247182"/>
    <w:rsid w:val="0025273B"/>
    <w:rsid w:val="00267962"/>
    <w:rsid w:val="00271087"/>
    <w:rsid w:val="00283A88"/>
    <w:rsid w:val="002D10D4"/>
    <w:rsid w:val="002D2BF4"/>
    <w:rsid w:val="002E233B"/>
    <w:rsid w:val="002F3C75"/>
    <w:rsid w:val="002F4495"/>
    <w:rsid w:val="00302D67"/>
    <w:rsid w:val="00340615"/>
    <w:rsid w:val="00372D74"/>
    <w:rsid w:val="003A271B"/>
    <w:rsid w:val="003A6D1F"/>
    <w:rsid w:val="003D462C"/>
    <w:rsid w:val="004376FD"/>
    <w:rsid w:val="00467E70"/>
    <w:rsid w:val="00492AA4"/>
    <w:rsid w:val="00494DB6"/>
    <w:rsid w:val="004B64C0"/>
    <w:rsid w:val="004C3C10"/>
    <w:rsid w:val="004F252B"/>
    <w:rsid w:val="004F3B8D"/>
    <w:rsid w:val="004F650D"/>
    <w:rsid w:val="005440BF"/>
    <w:rsid w:val="00562C25"/>
    <w:rsid w:val="0056789F"/>
    <w:rsid w:val="00576F49"/>
    <w:rsid w:val="00581C71"/>
    <w:rsid w:val="00593FF2"/>
    <w:rsid w:val="005C1511"/>
    <w:rsid w:val="005C5B0D"/>
    <w:rsid w:val="005D54B0"/>
    <w:rsid w:val="005D5C94"/>
    <w:rsid w:val="005D6166"/>
    <w:rsid w:val="005E1858"/>
    <w:rsid w:val="005F109B"/>
    <w:rsid w:val="006059D1"/>
    <w:rsid w:val="00607379"/>
    <w:rsid w:val="00622FCA"/>
    <w:rsid w:val="006460D0"/>
    <w:rsid w:val="00664CEC"/>
    <w:rsid w:val="00666E5E"/>
    <w:rsid w:val="00686EB7"/>
    <w:rsid w:val="006A4755"/>
    <w:rsid w:val="006F4097"/>
    <w:rsid w:val="00747288"/>
    <w:rsid w:val="007527BB"/>
    <w:rsid w:val="00781B0D"/>
    <w:rsid w:val="007867A6"/>
    <w:rsid w:val="00787DDC"/>
    <w:rsid w:val="007A0254"/>
    <w:rsid w:val="007B270B"/>
    <w:rsid w:val="007B33CA"/>
    <w:rsid w:val="007E4217"/>
    <w:rsid w:val="00812937"/>
    <w:rsid w:val="00834E05"/>
    <w:rsid w:val="0084353B"/>
    <w:rsid w:val="00860EF6"/>
    <w:rsid w:val="00893D30"/>
    <w:rsid w:val="0089582B"/>
    <w:rsid w:val="008A06DA"/>
    <w:rsid w:val="008E090D"/>
    <w:rsid w:val="008F6883"/>
    <w:rsid w:val="0090281F"/>
    <w:rsid w:val="0092705E"/>
    <w:rsid w:val="00942703"/>
    <w:rsid w:val="00943633"/>
    <w:rsid w:val="0095531A"/>
    <w:rsid w:val="00957B32"/>
    <w:rsid w:val="00973DF1"/>
    <w:rsid w:val="009871B9"/>
    <w:rsid w:val="0099284F"/>
    <w:rsid w:val="00993901"/>
    <w:rsid w:val="00996386"/>
    <w:rsid w:val="009A5A51"/>
    <w:rsid w:val="009B5F5F"/>
    <w:rsid w:val="009D4EAE"/>
    <w:rsid w:val="009F3AF9"/>
    <w:rsid w:val="00A50B61"/>
    <w:rsid w:val="00A608D4"/>
    <w:rsid w:val="00A62F31"/>
    <w:rsid w:val="00A734C1"/>
    <w:rsid w:val="00A77E28"/>
    <w:rsid w:val="00AD443F"/>
    <w:rsid w:val="00AD4C43"/>
    <w:rsid w:val="00AF599D"/>
    <w:rsid w:val="00B1190F"/>
    <w:rsid w:val="00B50A99"/>
    <w:rsid w:val="00B57E1C"/>
    <w:rsid w:val="00B712A8"/>
    <w:rsid w:val="00B74392"/>
    <w:rsid w:val="00B93990"/>
    <w:rsid w:val="00BA7994"/>
    <w:rsid w:val="00BC0FF7"/>
    <w:rsid w:val="00BF3B44"/>
    <w:rsid w:val="00C02174"/>
    <w:rsid w:val="00C02660"/>
    <w:rsid w:val="00C677C0"/>
    <w:rsid w:val="00C81397"/>
    <w:rsid w:val="00C85295"/>
    <w:rsid w:val="00C9241A"/>
    <w:rsid w:val="00CA669C"/>
    <w:rsid w:val="00CF08DC"/>
    <w:rsid w:val="00CF3FA6"/>
    <w:rsid w:val="00D11B0B"/>
    <w:rsid w:val="00D179AB"/>
    <w:rsid w:val="00D27221"/>
    <w:rsid w:val="00D31CCE"/>
    <w:rsid w:val="00D3627F"/>
    <w:rsid w:val="00D625D7"/>
    <w:rsid w:val="00D840C6"/>
    <w:rsid w:val="00D93EF4"/>
    <w:rsid w:val="00DA696D"/>
    <w:rsid w:val="00DB022C"/>
    <w:rsid w:val="00DB13C9"/>
    <w:rsid w:val="00DF0116"/>
    <w:rsid w:val="00E012CF"/>
    <w:rsid w:val="00E14FCB"/>
    <w:rsid w:val="00E40745"/>
    <w:rsid w:val="00E50498"/>
    <w:rsid w:val="00E535ED"/>
    <w:rsid w:val="00E63519"/>
    <w:rsid w:val="00E87D8B"/>
    <w:rsid w:val="00E958D3"/>
    <w:rsid w:val="00EA1824"/>
    <w:rsid w:val="00EA6B34"/>
    <w:rsid w:val="00EA7497"/>
    <w:rsid w:val="00EB221E"/>
    <w:rsid w:val="00EC073F"/>
    <w:rsid w:val="00EE51ED"/>
    <w:rsid w:val="00F04D4E"/>
    <w:rsid w:val="00F240FD"/>
    <w:rsid w:val="00F47A7A"/>
    <w:rsid w:val="00F74AEC"/>
    <w:rsid w:val="00F924B3"/>
    <w:rsid w:val="00FB00B3"/>
    <w:rsid w:val="00FC6B0A"/>
    <w:rsid w:val="00FC7519"/>
    <w:rsid w:val="00FD5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840C6"/>
    <w:rPr>
      <w:rFonts w:ascii="Times New Roman" w:eastAsia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D840C6"/>
    <w:pPr>
      <w:jc w:val="both"/>
    </w:pPr>
    <w:rPr>
      <w:rFonts w:ascii="Arial" w:hAnsi="Arial"/>
      <w:sz w:val="20"/>
      <w:szCs w:val="20"/>
    </w:rPr>
  </w:style>
  <w:style w:type="character" w:customStyle="1" w:styleId="ZkladntextChar">
    <w:name w:val="Základní text Char"/>
    <w:link w:val="Zkladntext"/>
    <w:rsid w:val="00D840C6"/>
    <w:rPr>
      <w:rFonts w:ascii="Arial" w:eastAsia="Times New Roman" w:hAnsi="Arial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D840C6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D840C6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D840C6"/>
  </w:style>
  <w:style w:type="paragraph" w:styleId="Textbubliny">
    <w:name w:val="Balloon Text"/>
    <w:basedOn w:val="Normln"/>
    <w:link w:val="TextbublinyChar"/>
    <w:uiPriority w:val="99"/>
    <w:semiHidden/>
    <w:unhideWhenUsed/>
    <w:rsid w:val="00D840C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840C6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781B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686EB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686EB7"/>
    <w:rPr>
      <w:rFonts w:ascii="Times New Roman" w:eastAsia="Times New Roman" w:hAnsi="Times New Roman"/>
      <w:sz w:val="24"/>
      <w:szCs w:val="24"/>
    </w:rPr>
  </w:style>
  <w:style w:type="character" w:styleId="Hypertextovodkaz">
    <w:name w:val="Hyperlink"/>
    <w:uiPriority w:val="99"/>
    <w:unhideWhenUsed/>
    <w:rsid w:val="0003474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840C6"/>
    <w:rPr>
      <w:rFonts w:ascii="Times New Roman" w:eastAsia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D840C6"/>
    <w:pPr>
      <w:jc w:val="both"/>
    </w:pPr>
    <w:rPr>
      <w:rFonts w:ascii="Arial" w:hAnsi="Arial"/>
      <w:sz w:val="20"/>
      <w:szCs w:val="20"/>
    </w:rPr>
  </w:style>
  <w:style w:type="character" w:customStyle="1" w:styleId="ZkladntextChar">
    <w:name w:val="Základní text Char"/>
    <w:link w:val="Zkladntext"/>
    <w:rsid w:val="00D840C6"/>
    <w:rPr>
      <w:rFonts w:ascii="Arial" w:eastAsia="Times New Roman" w:hAnsi="Arial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D840C6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D840C6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D840C6"/>
  </w:style>
  <w:style w:type="paragraph" w:styleId="Textbubliny">
    <w:name w:val="Balloon Text"/>
    <w:basedOn w:val="Normln"/>
    <w:link w:val="TextbublinyChar"/>
    <w:uiPriority w:val="99"/>
    <w:semiHidden/>
    <w:unhideWhenUsed/>
    <w:rsid w:val="00D840C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840C6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781B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686EB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686EB7"/>
    <w:rPr>
      <w:rFonts w:ascii="Times New Roman" w:eastAsia="Times New Roman" w:hAnsi="Times New Roman"/>
      <w:sz w:val="24"/>
      <w:szCs w:val="24"/>
    </w:rPr>
  </w:style>
  <w:style w:type="character" w:styleId="Hypertextovodkaz">
    <w:name w:val="Hyperlink"/>
    <w:uiPriority w:val="99"/>
    <w:unhideWhenUsed/>
    <w:rsid w:val="0003474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1078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9150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7569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39495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908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88527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37780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1285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2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05381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945403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336773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2264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60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7438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88950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0471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6227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7228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3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74999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4753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68413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8764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850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8599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8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549">
          <w:marLeft w:val="2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9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12261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3587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79415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8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67084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0120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2155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95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38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23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487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739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5087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301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55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10" Type="http://schemas.openxmlformats.org/officeDocument/2006/relationships/image" Target="media/image3.jpeg"/><Relationship Id="rId19" Type="http://schemas.openxmlformats.org/officeDocument/2006/relationships/hyperlink" Target="mailto:vysekalova@cms-cma.cz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chart" Target="charts/chart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ne, nekoupil/a na základě reklamy</c:v>
                </c:pt>
              </c:strCache>
            </c:strRef>
          </c:tx>
          <c:spPr>
            <a:ln>
              <a:solidFill>
                <a:schemeClr val="accent4"/>
              </a:solidFill>
            </a:ln>
          </c:spPr>
          <c:marker>
            <c:symbol val="none"/>
          </c:marker>
          <c:trendline>
            <c:spPr>
              <a:ln>
                <a:solidFill>
                  <a:schemeClr val="accent4"/>
                </a:solidFill>
                <a:prstDash val="dash"/>
              </a:ln>
            </c:spPr>
            <c:trendlineType val="poly"/>
            <c:order val="2"/>
            <c:forward val="1"/>
            <c:dispRSqr val="0"/>
            <c:dispEq val="0"/>
          </c:trendline>
          <c:cat>
            <c:numRef>
              <c:f>List1!$A$2:$A$23</c:f>
              <c:numCache>
                <c:formatCode>General</c:formatCode>
                <c:ptCount val="22"/>
                <c:pt idx="0">
                  <c:v>1994</c:v>
                </c:pt>
                <c:pt idx="1">
                  <c:v>1995</c:v>
                </c:pt>
                <c:pt idx="2">
                  <c:v>1996</c:v>
                </c:pt>
                <c:pt idx="3">
                  <c:v>1997</c:v>
                </c:pt>
                <c:pt idx="4">
                  <c:v>1998</c:v>
                </c:pt>
                <c:pt idx="5">
                  <c:v>1999</c:v>
                </c:pt>
                <c:pt idx="6">
                  <c:v>2000</c:v>
                </c:pt>
                <c:pt idx="7">
                  <c:v>2001</c:v>
                </c:pt>
                <c:pt idx="8">
                  <c:v>2002</c:v>
                </c:pt>
                <c:pt idx="9">
                  <c:v>2003</c:v>
                </c:pt>
                <c:pt idx="10">
                  <c:v>2004</c:v>
                </c:pt>
                <c:pt idx="11">
                  <c:v>2005</c:v>
                </c:pt>
                <c:pt idx="12">
                  <c:v>2006</c:v>
                </c:pt>
                <c:pt idx="13">
                  <c:v>2007</c:v>
                </c:pt>
                <c:pt idx="14">
                  <c:v>2008</c:v>
                </c:pt>
                <c:pt idx="15">
                  <c:v>2009</c:v>
                </c:pt>
                <c:pt idx="16">
                  <c:v>2010</c:v>
                </c:pt>
                <c:pt idx="17">
                  <c:v>2011</c:v>
                </c:pt>
                <c:pt idx="18">
                  <c:v>2012</c:v>
                </c:pt>
                <c:pt idx="19">
                  <c:v>2013</c:v>
                </c:pt>
                <c:pt idx="20">
                  <c:v>2014</c:v>
                </c:pt>
                <c:pt idx="21">
                  <c:v>2015</c:v>
                </c:pt>
              </c:numCache>
            </c:numRef>
          </c:cat>
          <c:val>
            <c:numRef>
              <c:f>List1!$B$2:$B$23</c:f>
              <c:numCache>
                <c:formatCode>0</c:formatCode>
                <c:ptCount val="22"/>
                <c:pt idx="0">
                  <c:v>57</c:v>
                </c:pt>
                <c:pt idx="1">
                  <c:v>52.2</c:v>
                </c:pt>
                <c:pt idx="2" formatCode="General">
                  <c:v>47.4</c:v>
                </c:pt>
                <c:pt idx="3" formatCode="General">
                  <c:v>54.3</c:v>
                </c:pt>
                <c:pt idx="4" formatCode="General">
                  <c:v>52</c:v>
                </c:pt>
                <c:pt idx="5" formatCode="General">
                  <c:v>53.7</c:v>
                </c:pt>
                <c:pt idx="6" formatCode="General">
                  <c:v>50.5</c:v>
                </c:pt>
                <c:pt idx="7" formatCode="General">
                  <c:v>63</c:v>
                </c:pt>
                <c:pt idx="8" formatCode="General">
                  <c:v>50.7</c:v>
                </c:pt>
                <c:pt idx="9" formatCode="General">
                  <c:v>53.4</c:v>
                </c:pt>
                <c:pt idx="10" formatCode="General">
                  <c:v>54.2</c:v>
                </c:pt>
                <c:pt idx="11" formatCode="General">
                  <c:v>57.2</c:v>
                </c:pt>
                <c:pt idx="12" formatCode="General">
                  <c:v>60.2</c:v>
                </c:pt>
                <c:pt idx="13" formatCode="General">
                  <c:v>63.2</c:v>
                </c:pt>
                <c:pt idx="14" formatCode="General">
                  <c:v>62.661380185152808</c:v>
                </c:pt>
                <c:pt idx="15" formatCode="General">
                  <c:v>64.242375126239338</c:v>
                </c:pt>
                <c:pt idx="16" formatCode="General">
                  <c:v>49</c:v>
                </c:pt>
                <c:pt idx="17" formatCode="General">
                  <c:v>48.380024544382991</c:v>
                </c:pt>
                <c:pt idx="18" formatCode="General">
                  <c:v>58</c:v>
                </c:pt>
                <c:pt idx="19" formatCode="General">
                  <c:v>46</c:v>
                </c:pt>
                <c:pt idx="20" formatCode="General">
                  <c:v>55.756002944668211</c:v>
                </c:pt>
                <c:pt idx="21" formatCode="General">
                  <c:v>50.2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ano, koupil/a na základě reklamy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ymbol val="none"/>
          </c:marker>
          <c:trendline>
            <c:name>lineární trend: koupil(a) na základě reklamy</c:name>
            <c:spPr>
              <a:ln w="25400">
                <a:solidFill>
                  <a:schemeClr val="accent1"/>
                </a:solidFill>
                <a:prstDash val="sysDash"/>
              </a:ln>
            </c:spPr>
            <c:trendlineType val="poly"/>
            <c:order val="2"/>
            <c:forward val="1"/>
            <c:dispRSqr val="0"/>
            <c:dispEq val="0"/>
          </c:trendline>
          <c:cat>
            <c:numRef>
              <c:f>List1!$A$2:$A$23</c:f>
              <c:numCache>
                <c:formatCode>General</c:formatCode>
                <c:ptCount val="22"/>
                <c:pt idx="0">
                  <c:v>1994</c:v>
                </c:pt>
                <c:pt idx="1">
                  <c:v>1995</c:v>
                </c:pt>
                <c:pt idx="2">
                  <c:v>1996</c:v>
                </c:pt>
                <c:pt idx="3">
                  <c:v>1997</c:v>
                </c:pt>
                <c:pt idx="4">
                  <c:v>1998</c:v>
                </c:pt>
                <c:pt idx="5">
                  <c:v>1999</c:v>
                </c:pt>
                <c:pt idx="6">
                  <c:v>2000</c:v>
                </c:pt>
                <c:pt idx="7">
                  <c:v>2001</c:v>
                </c:pt>
                <c:pt idx="8">
                  <c:v>2002</c:v>
                </c:pt>
                <c:pt idx="9">
                  <c:v>2003</c:v>
                </c:pt>
                <c:pt idx="10">
                  <c:v>2004</c:v>
                </c:pt>
                <c:pt idx="11">
                  <c:v>2005</c:v>
                </c:pt>
                <c:pt idx="12">
                  <c:v>2006</c:v>
                </c:pt>
                <c:pt idx="13">
                  <c:v>2007</c:v>
                </c:pt>
                <c:pt idx="14">
                  <c:v>2008</c:v>
                </c:pt>
                <c:pt idx="15">
                  <c:v>2009</c:v>
                </c:pt>
                <c:pt idx="16">
                  <c:v>2010</c:v>
                </c:pt>
                <c:pt idx="17">
                  <c:v>2011</c:v>
                </c:pt>
                <c:pt idx="18">
                  <c:v>2012</c:v>
                </c:pt>
                <c:pt idx="19">
                  <c:v>2013</c:v>
                </c:pt>
                <c:pt idx="20">
                  <c:v>2014</c:v>
                </c:pt>
                <c:pt idx="21">
                  <c:v>2015</c:v>
                </c:pt>
              </c:numCache>
            </c:numRef>
          </c:cat>
          <c:val>
            <c:numRef>
              <c:f>List1!$C$2:$C$23</c:f>
              <c:numCache>
                <c:formatCode>0</c:formatCode>
                <c:ptCount val="22"/>
                <c:pt idx="0">
                  <c:v>37</c:v>
                </c:pt>
                <c:pt idx="1">
                  <c:v>36.6</c:v>
                </c:pt>
                <c:pt idx="2" formatCode="General">
                  <c:v>36.200000000000003</c:v>
                </c:pt>
                <c:pt idx="3" formatCode="General">
                  <c:v>20.399999999999999</c:v>
                </c:pt>
                <c:pt idx="4" formatCode="General">
                  <c:v>26.5</c:v>
                </c:pt>
                <c:pt idx="5" formatCode="General">
                  <c:v>39.300000000000004</c:v>
                </c:pt>
                <c:pt idx="6" formatCode="General">
                  <c:v>37.9</c:v>
                </c:pt>
                <c:pt idx="7" formatCode="General">
                  <c:v>27</c:v>
                </c:pt>
                <c:pt idx="8" formatCode="General">
                  <c:v>37.9</c:v>
                </c:pt>
                <c:pt idx="9" formatCode="General">
                  <c:v>32.1</c:v>
                </c:pt>
                <c:pt idx="10" formatCode="General">
                  <c:v>33.200000000000003</c:v>
                </c:pt>
                <c:pt idx="11" formatCode="General">
                  <c:v>40.4</c:v>
                </c:pt>
                <c:pt idx="12" formatCode="General">
                  <c:v>35.25</c:v>
                </c:pt>
                <c:pt idx="13" formatCode="General">
                  <c:v>30.1</c:v>
                </c:pt>
                <c:pt idx="14" formatCode="General">
                  <c:v>30.848802825295127</c:v>
                </c:pt>
                <c:pt idx="15" formatCode="General">
                  <c:v>28.53577445530966</c:v>
                </c:pt>
                <c:pt idx="16" formatCode="General">
                  <c:v>42.3</c:v>
                </c:pt>
                <c:pt idx="17" formatCode="General">
                  <c:v>43.273199163726524</c:v>
                </c:pt>
                <c:pt idx="18" formatCode="General">
                  <c:v>36</c:v>
                </c:pt>
                <c:pt idx="19" formatCode="General">
                  <c:v>41</c:v>
                </c:pt>
                <c:pt idx="20" formatCode="General">
                  <c:v>34.05694729582045</c:v>
                </c:pt>
                <c:pt idx="21" formatCode="General">
                  <c:v>44.1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neodpověděl/a, nevzpomíná si</c:v>
                </c:pt>
              </c:strCache>
            </c:strRef>
          </c:tx>
          <c:spPr>
            <a:ln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numRef>
              <c:f>List1!$A$2:$A$23</c:f>
              <c:numCache>
                <c:formatCode>General</c:formatCode>
                <c:ptCount val="22"/>
                <c:pt idx="0">
                  <c:v>1994</c:v>
                </c:pt>
                <c:pt idx="1">
                  <c:v>1995</c:v>
                </c:pt>
                <c:pt idx="2">
                  <c:v>1996</c:v>
                </c:pt>
                <c:pt idx="3">
                  <c:v>1997</c:v>
                </c:pt>
                <c:pt idx="4">
                  <c:v>1998</c:v>
                </c:pt>
                <c:pt idx="5">
                  <c:v>1999</c:v>
                </c:pt>
                <c:pt idx="6">
                  <c:v>2000</c:v>
                </c:pt>
                <c:pt idx="7">
                  <c:v>2001</c:v>
                </c:pt>
                <c:pt idx="8">
                  <c:v>2002</c:v>
                </c:pt>
                <c:pt idx="9">
                  <c:v>2003</c:v>
                </c:pt>
                <c:pt idx="10">
                  <c:v>2004</c:v>
                </c:pt>
                <c:pt idx="11">
                  <c:v>2005</c:v>
                </c:pt>
                <c:pt idx="12">
                  <c:v>2006</c:v>
                </c:pt>
                <c:pt idx="13">
                  <c:v>2007</c:v>
                </c:pt>
                <c:pt idx="14">
                  <c:v>2008</c:v>
                </c:pt>
                <c:pt idx="15">
                  <c:v>2009</c:v>
                </c:pt>
                <c:pt idx="16">
                  <c:v>2010</c:v>
                </c:pt>
                <c:pt idx="17">
                  <c:v>2011</c:v>
                </c:pt>
                <c:pt idx="18">
                  <c:v>2012</c:v>
                </c:pt>
                <c:pt idx="19">
                  <c:v>2013</c:v>
                </c:pt>
                <c:pt idx="20">
                  <c:v>2014</c:v>
                </c:pt>
                <c:pt idx="21">
                  <c:v>2015</c:v>
                </c:pt>
              </c:numCache>
            </c:numRef>
          </c:cat>
          <c:val>
            <c:numRef>
              <c:f>List1!$D$2:$D$23</c:f>
              <c:numCache>
                <c:formatCode>0</c:formatCode>
                <c:ptCount val="22"/>
                <c:pt idx="0">
                  <c:v>5</c:v>
                </c:pt>
                <c:pt idx="1">
                  <c:v>10.7</c:v>
                </c:pt>
                <c:pt idx="2" formatCode="General">
                  <c:v>16.399999999999999</c:v>
                </c:pt>
                <c:pt idx="3" formatCode="General">
                  <c:v>25.3</c:v>
                </c:pt>
                <c:pt idx="4" formatCode="General">
                  <c:v>21.5</c:v>
                </c:pt>
                <c:pt idx="5" formatCode="General">
                  <c:v>6.9</c:v>
                </c:pt>
                <c:pt idx="6" formatCode="General">
                  <c:v>11.6</c:v>
                </c:pt>
                <c:pt idx="7" formatCode="General">
                  <c:v>10</c:v>
                </c:pt>
                <c:pt idx="8" formatCode="General">
                  <c:v>11.4</c:v>
                </c:pt>
                <c:pt idx="9" formatCode="General">
                  <c:v>14.5</c:v>
                </c:pt>
                <c:pt idx="10" formatCode="General">
                  <c:v>12.6</c:v>
                </c:pt>
                <c:pt idx="11" formatCode="General">
                  <c:v>2.4</c:v>
                </c:pt>
                <c:pt idx="12" formatCode="General">
                  <c:v>4.55</c:v>
                </c:pt>
                <c:pt idx="13" formatCode="General">
                  <c:v>6.7</c:v>
                </c:pt>
                <c:pt idx="14" formatCode="General">
                  <c:v>6.4898169895522084</c:v>
                </c:pt>
                <c:pt idx="15" formatCode="General">
                  <c:v>7.2218504184507779</c:v>
                </c:pt>
                <c:pt idx="16" formatCode="General">
                  <c:v>8.7000000000000011</c:v>
                </c:pt>
                <c:pt idx="17" formatCode="General">
                  <c:v>8.3467762918906168</c:v>
                </c:pt>
                <c:pt idx="18" formatCode="General">
                  <c:v>6</c:v>
                </c:pt>
                <c:pt idx="19" formatCode="General">
                  <c:v>12</c:v>
                </c:pt>
                <c:pt idx="20" formatCode="General">
                  <c:v>10.187049759511323</c:v>
                </c:pt>
                <c:pt idx="21" formatCode="General">
                  <c:v>5.7134779506692404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5411328"/>
        <c:axId val="282192704"/>
      </c:lineChart>
      <c:catAx>
        <c:axId val="245411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 baseline="0"/>
            </a:pPr>
            <a:endParaRPr lang="cs-CZ"/>
          </a:p>
        </c:txPr>
        <c:crossAx val="282192704"/>
        <c:crosses val="autoZero"/>
        <c:auto val="1"/>
        <c:lblAlgn val="ctr"/>
        <c:lblOffset val="100"/>
        <c:noMultiLvlLbl val="0"/>
      </c:catAx>
      <c:valAx>
        <c:axId val="282192704"/>
        <c:scaling>
          <c:orientation val="minMax"/>
        </c:scaling>
        <c:delete val="0"/>
        <c:axPos val="l"/>
        <c:majorGridlines>
          <c:spPr>
            <a:ln>
              <a:prstDash val="sysDot"/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1200" baseline="0"/>
            </a:pPr>
            <a:endParaRPr lang="cs-CZ"/>
          </a:p>
        </c:txPr>
        <c:crossAx val="245411328"/>
        <c:crosses val="autoZero"/>
        <c:crossBetween val="between"/>
      </c:valAx>
      <c:spPr>
        <a:ln>
          <a:solidFill>
            <a:schemeClr val="bg1">
              <a:lumMod val="65000"/>
            </a:schemeClr>
          </a:solidFill>
        </a:ln>
      </c:spPr>
    </c:plotArea>
    <c:legend>
      <c:legendPos val="b"/>
      <c:layout>
        <c:manualLayout>
          <c:xMode val="edge"/>
          <c:yMode val="edge"/>
          <c:x val="8.5619401251628528E-3"/>
          <c:y val="0.7835618040781116"/>
          <c:w val="0.9888740393128499"/>
          <c:h val="0.20529613464055171"/>
        </c:manualLayout>
      </c:layout>
      <c:overlay val="0"/>
      <c:txPr>
        <a:bodyPr/>
        <a:lstStyle/>
        <a:p>
          <a:pPr>
            <a:defRPr sz="1050"/>
          </a:pPr>
          <a:endParaRPr lang="cs-CZ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cs-CZ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cs-CZ" sz="1300" dirty="0" smtClean="0"/>
              <a:t>Osobní postoje k reklamám</a:t>
            </a:r>
            <a:endParaRPr lang="cs-CZ" sz="1300" baseline="0" dirty="0" smtClean="0"/>
          </a:p>
          <a:p>
            <a:pPr>
              <a:defRPr/>
            </a:pPr>
            <a:r>
              <a:rPr lang="cs-CZ" sz="1200" b="0" i="1" baseline="0" dirty="0" smtClean="0"/>
              <a:t>n=1005, data v %</a:t>
            </a:r>
            <a:endParaRPr lang="cs-CZ" sz="1200" b="0" i="1" dirty="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44301841637515776"/>
          <c:y val="0.11309220540315806"/>
          <c:w val="0.4511766478441443"/>
          <c:h val="0.6212829689995044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reklamu s tímto tématem je třeba naprosto zakázat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900"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List1!$A$2:$A$9</c:f>
              <c:strCache>
                <c:ptCount val="8"/>
                <c:pt idx="0">
                  <c:v>reklama na cigarety</c:v>
                </c:pt>
                <c:pt idx="1">
                  <c:v>sexuální a erotické motivy v reklamě</c:v>
                </c:pt>
                <c:pt idx="2">
                  <c:v>náboženské motivy v reklamě</c:v>
                </c:pt>
                <c:pt idx="3">
                  <c:v>reklama na nezdravé potraviny (vysoký obsah cukru, tuků nebo soli)</c:v>
                </c:pt>
                <c:pt idx="4">
                  <c:v>reklama na destiláty, tvrdý alkohol</c:v>
                </c:pt>
                <c:pt idx="5">
                  <c:v>reklama na volně prodejné léky</c:v>
                </c:pt>
                <c:pt idx="6">
                  <c:v>reklama na pivo</c:v>
                </c:pt>
                <c:pt idx="7">
                  <c:v>reklama na víno včetně sektu</c:v>
                </c:pt>
              </c:strCache>
            </c:strRef>
          </c:cat>
          <c:val>
            <c:numRef>
              <c:f>List1!$B$2:$B$9</c:f>
              <c:numCache>
                <c:formatCode>###0</c:formatCode>
                <c:ptCount val="8"/>
                <c:pt idx="0">
                  <c:v>28.840614007323058</c:v>
                </c:pt>
                <c:pt idx="1">
                  <c:v>24.3705522435049</c:v>
                </c:pt>
                <c:pt idx="2">
                  <c:v>23.126569287967236</c:v>
                </c:pt>
                <c:pt idx="3">
                  <c:v>18.064094962683491</c:v>
                </c:pt>
                <c:pt idx="4">
                  <c:v>14.663329967937305</c:v>
                </c:pt>
                <c:pt idx="5">
                  <c:v>6.450343469794932</c:v>
                </c:pt>
                <c:pt idx="6">
                  <c:v>6.0505156629936385</c:v>
                </c:pt>
                <c:pt idx="7">
                  <c:v>5.9694074500294212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taková reklama může být provozována jen s určitým omezením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900" b="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List1!$A$2:$A$9</c:f>
              <c:strCache>
                <c:ptCount val="8"/>
                <c:pt idx="0">
                  <c:v>reklama na cigarety</c:v>
                </c:pt>
                <c:pt idx="1">
                  <c:v>sexuální a erotické motivy v reklamě</c:v>
                </c:pt>
                <c:pt idx="2">
                  <c:v>náboženské motivy v reklamě</c:v>
                </c:pt>
                <c:pt idx="3">
                  <c:v>reklama na nezdravé potraviny (vysoký obsah cukru, tuků nebo soli)</c:v>
                </c:pt>
                <c:pt idx="4">
                  <c:v>reklama na destiláty, tvrdý alkohol</c:v>
                </c:pt>
                <c:pt idx="5">
                  <c:v>reklama na volně prodejné léky</c:v>
                </c:pt>
                <c:pt idx="6">
                  <c:v>reklama na pivo</c:v>
                </c:pt>
                <c:pt idx="7">
                  <c:v>reklama na víno včetně sektu</c:v>
                </c:pt>
              </c:strCache>
            </c:strRef>
          </c:cat>
          <c:val>
            <c:numRef>
              <c:f>List1!$C$2:$C$9</c:f>
              <c:numCache>
                <c:formatCode>###0</c:formatCode>
                <c:ptCount val="8"/>
                <c:pt idx="0">
                  <c:v>32.669612937527049</c:v>
                </c:pt>
                <c:pt idx="1">
                  <c:v>37.072301011186646</c:v>
                </c:pt>
                <c:pt idx="2">
                  <c:v>29.300840761417195</c:v>
                </c:pt>
                <c:pt idx="3">
                  <c:v>28.531824288212331</c:v>
                </c:pt>
                <c:pt idx="4">
                  <c:v>41.488353069333826</c:v>
                </c:pt>
                <c:pt idx="5">
                  <c:v>30.220995612242231</c:v>
                </c:pt>
                <c:pt idx="6">
                  <c:v>30.802081128653331</c:v>
                </c:pt>
                <c:pt idx="7">
                  <c:v>33.171509443680165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ať si každý dává takovou reklamu, jakou chce a kde chce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Lbls>
            <c:txPr>
              <a:bodyPr/>
              <a:lstStyle/>
              <a:p>
                <a:pPr>
                  <a:defRPr sz="900"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List1!$A$2:$A$9</c:f>
              <c:strCache>
                <c:ptCount val="8"/>
                <c:pt idx="0">
                  <c:v>reklama na cigarety</c:v>
                </c:pt>
                <c:pt idx="1">
                  <c:v>sexuální a erotické motivy v reklamě</c:v>
                </c:pt>
                <c:pt idx="2">
                  <c:v>náboženské motivy v reklamě</c:v>
                </c:pt>
                <c:pt idx="3">
                  <c:v>reklama na nezdravé potraviny (vysoký obsah cukru, tuků nebo soli)</c:v>
                </c:pt>
                <c:pt idx="4">
                  <c:v>reklama na destiláty, tvrdý alkohol</c:v>
                </c:pt>
                <c:pt idx="5">
                  <c:v>reklama na volně prodejné léky</c:v>
                </c:pt>
                <c:pt idx="6">
                  <c:v>reklama na pivo</c:v>
                </c:pt>
                <c:pt idx="7">
                  <c:v>reklama na víno včetně sektu</c:v>
                </c:pt>
              </c:strCache>
            </c:strRef>
          </c:cat>
          <c:val>
            <c:numRef>
              <c:f>List1!$D$2:$D$9</c:f>
              <c:numCache>
                <c:formatCode>###0</c:formatCode>
                <c:ptCount val="8"/>
                <c:pt idx="0">
                  <c:v>33.657580046062471</c:v>
                </c:pt>
                <c:pt idx="1">
                  <c:v>31.348256448159322</c:v>
                </c:pt>
                <c:pt idx="2">
                  <c:v>34.529703915246344</c:v>
                </c:pt>
                <c:pt idx="3">
                  <c:v>45.643328893593441</c:v>
                </c:pt>
                <c:pt idx="4">
                  <c:v>40.089022509230745</c:v>
                </c:pt>
                <c:pt idx="5">
                  <c:v>57.775341626157513</c:v>
                </c:pt>
                <c:pt idx="6">
                  <c:v>59.906193303177282</c:v>
                </c:pt>
                <c:pt idx="7">
                  <c:v>57.433059074688877</c:v>
                </c:pt>
              </c:numCache>
            </c:numRef>
          </c:val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nevím, záležitost je příliš složitá, než aby bylo možno vybrat jedno z nabízených řešení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</c:spPr>
          <c:invertIfNegative val="0"/>
          <c:dLbls>
            <c:dLbl>
              <c:idx val="0"/>
              <c:layout>
                <c:manualLayout>
                  <c:x val="-2.0746887966804992E-3"/>
                  <c:y val="1.8516461133948215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List1!$A$2:$A$9</c:f>
              <c:strCache>
                <c:ptCount val="8"/>
                <c:pt idx="0">
                  <c:v>reklama na cigarety</c:v>
                </c:pt>
                <c:pt idx="1">
                  <c:v>sexuální a erotické motivy v reklamě</c:v>
                </c:pt>
                <c:pt idx="2">
                  <c:v>náboženské motivy v reklamě</c:v>
                </c:pt>
                <c:pt idx="3">
                  <c:v>reklama na nezdravé potraviny (vysoký obsah cukru, tuků nebo soli)</c:v>
                </c:pt>
                <c:pt idx="4">
                  <c:v>reklama na destiláty, tvrdý alkohol</c:v>
                </c:pt>
                <c:pt idx="5">
                  <c:v>reklama na volně prodejné léky</c:v>
                </c:pt>
                <c:pt idx="6">
                  <c:v>reklama na pivo</c:v>
                </c:pt>
                <c:pt idx="7">
                  <c:v>reklama na víno včetně sektu</c:v>
                </c:pt>
              </c:strCache>
            </c:strRef>
          </c:cat>
          <c:val>
            <c:numRef>
              <c:f>List1!$E$2:$E$9</c:f>
              <c:numCache>
                <c:formatCode>###0</c:formatCode>
                <c:ptCount val="8"/>
                <c:pt idx="0">
                  <c:v>4.8321930090875505</c:v>
                </c:pt>
                <c:pt idx="1">
                  <c:v>7.2088902971491997</c:v>
                </c:pt>
                <c:pt idx="2">
                  <c:v>13.0428860353693</c:v>
                </c:pt>
                <c:pt idx="3">
                  <c:v>7.760751855510879</c:v>
                </c:pt>
                <c:pt idx="4">
                  <c:v>3.7592944534981543</c:v>
                </c:pt>
                <c:pt idx="5">
                  <c:v>5.5533192918054475</c:v>
                </c:pt>
                <c:pt idx="6">
                  <c:v>3.2412099051758778</c:v>
                </c:pt>
                <c:pt idx="7">
                  <c:v>3.4260240316015702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245407744"/>
        <c:axId val="240864064"/>
      </c:barChart>
      <c:catAx>
        <c:axId val="245407744"/>
        <c:scaling>
          <c:orientation val="maxMin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240864064"/>
        <c:crosses val="autoZero"/>
        <c:auto val="1"/>
        <c:lblAlgn val="ctr"/>
        <c:lblOffset val="100"/>
        <c:noMultiLvlLbl val="0"/>
      </c:catAx>
      <c:valAx>
        <c:axId val="240864064"/>
        <c:scaling>
          <c:orientation val="minMax"/>
          <c:max val="1"/>
        </c:scaling>
        <c:delete val="0"/>
        <c:axPos val="b"/>
        <c:majorGridlines>
          <c:spPr>
            <a:ln>
              <a:prstDash val="sysDot"/>
            </a:ln>
          </c:spPr>
        </c:majorGridlines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245407744"/>
        <c:crosses val="max"/>
        <c:crossBetween val="between"/>
        <c:majorUnit val="0.2"/>
      </c:valAx>
    </c:plotArea>
    <c:legend>
      <c:legendPos val="t"/>
      <c:layout>
        <c:manualLayout>
          <c:xMode val="edge"/>
          <c:yMode val="edge"/>
          <c:x val="9.3009769007090411E-3"/>
          <c:y val="0.83660524934383207"/>
          <c:w val="0.96480053582513803"/>
          <c:h val="0.15098556430446194"/>
        </c:manualLayout>
      </c:layout>
      <c:overlay val="0"/>
      <c:txPr>
        <a:bodyPr/>
        <a:lstStyle/>
        <a:p>
          <a:pPr>
            <a:defRPr sz="900"/>
          </a:pPr>
          <a:endParaRPr lang="cs-CZ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cs-CZ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0229418953449821E-2"/>
          <c:y val="1.4165798903699916E-2"/>
          <c:w val="0.76608968051169346"/>
          <c:h val="0.90891995992912278"/>
        </c:manualLayout>
      </c:layout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Sloupec1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</c:spPr>
          </c:dPt>
          <c:dPt>
            <c:idx val="1"/>
            <c:bubble3D val="0"/>
            <c:spPr>
              <a:solidFill>
                <a:schemeClr val="accent2"/>
              </a:solidFill>
            </c:spPr>
          </c:dPt>
          <c:dPt>
            <c:idx val="2"/>
            <c:bubble3D val="0"/>
            <c:spPr>
              <a:solidFill>
                <a:schemeClr val="accent3"/>
              </a:solidFill>
            </c:spPr>
          </c:dPt>
          <c:dPt>
            <c:idx val="3"/>
            <c:bubble3D val="0"/>
            <c:spPr>
              <a:solidFill>
                <a:schemeClr val="accent4"/>
              </a:solidFill>
            </c:spPr>
          </c:dPt>
          <c:dPt>
            <c:idx val="4"/>
            <c:bubble3D val="0"/>
            <c:spPr>
              <a:solidFill>
                <a:schemeClr val="accent1"/>
              </a:solidFill>
            </c:spPr>
          </c:dPt>
          <c:dPt>
            <c:idx val="5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Pt>
            <c:idx val="6"/>
            <c:bubble3D val="0"/>
            <c:spPr>
              <a:solidFill>
                <a:srgbClr val="CC3300"/>
              </a:solidFill>
            </c:spPr>
          </c:dPt>
          <c:dPt>
            <c:idx val="7"/>
            <c:bubble3D val="0"/>
            <c:spPr>
              <a:solidFill>
                <a:schemeClr val="accent4">
                  <a:lumMod val="75000"/>
                </a:schemeClr>
              </a:solidFill>
            </c:spPr>
          </c:dPt>
          <c:dLbls>
            <c:dLbl>
              <c:idx val="0"/>
              <c:layout>
                <c:manualLayout>
                  <c:x val="-0.20681034048826089"/>
                  <c:y val="0.17057880161674005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25288433466364652"/>
                  <c:y val="-0.12440887037880595"/>
                </c:manualLayout>
              </c:layout>
              <c:tx>
                <c:rich>
                  <a:bodyPr/>
                  <a:lstStyle/>
                  <a:p>
                    <a:pPr>
                      <a:defRPr sz="1100" b="1">
                        <a:solidFill>
                          <a:schemeClr val="tx1"/>
                        </a:solidFill>
                      </a:defRPr>
                    </a:pPr>
                    <a:r>
                      <a:rPr lang="cs-CZ" sz="1100" dirty="0" smtClean="0"/>
                      <a:t>„</a:t>
                    </a:r>
                    <a:r>
                      <a:rPr lang="en-US" sz="1100" dirty="0" err="1" smtClean="0"/>
                      <a:t>jsem</a:t>
                    </a:r>
                    <a:r>
                      <a:rPr lang="en-US" sz="1100" dirty="0" smtClean="0"/>
                      <a:t> </a:t>
                    </a:r>
                    <a:r>
                      <a:rPr lang="en-US" sz="1100" dirty="0"/>
                      <a:t>tolerantní, </a:t>
                    </a:r>
                    <a:r>
                      <a:rPr lang="en-US" sz="1100" dirty="0" smtClean="0"/>
                      <a:t>ale</a:t>
                    </a:r>
                    <a:r>
                      <a:rPr lang="cs-CZ" sz="1100" dirty="0" smtClean="0"/>
                      <a:t>…“</a:t>
                    </a:r>
                    <a:r>
                      <a:rPr lang="en-US" sz="1100" dirty="0" smtClean="0"/>
                      <a:t> </a:t>
                    </a:r>
                    <a:r>
                      <a:rPr lang="en-US" sz="1100" dirty="0"/>
                      <a:t>
24%</a:t>
                    </a:r>
                  </a:p>
                </c:rich>
              </c:tx>
              <c:spPr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0.12511674396864772"/>
                  <c:y val="-0.21411856575779267"/>
                </c:manualLayout>
              </c:layout>
              <c:tx>
                <c:rich>
                  <a:bodyPr/>
                  <a:lstStyle/>
                  <a:p>
                    <a:r>
                      <a:rPr lang="en-US" sz="1100" dirty="0"/>
                      <a:t>„</a:t>
                    </a:r>
                    <a:r>
                      <a:rPr lang="en-US" dirty="0" err="1"/>
                      <a:t>reklamu</a:t>
                    </a:r>
                    <a:r>
                      <a:rPr lang="en-US" dirty="0"/>
                      <a:t> </a:t>
                    </a:r>
                    <a:r>
                      <a:rPr lang="en-US" dirty="0" err="1" smtClean="0"/>
                      <a:t>regulovat</a:t>
                    </a:r>
                    <a:r>
                      <a:rPr lang="cs-CZ" dirty="0" smtClean="0"/>
                      <a:t>“</a:t>
                    </a:r>
                    <a:r>
                      <a:rPr lang="en-US" dirty="0"/>
                      <a:t>
20%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0.16654744184374212"/>
                  <c:y val="0.12991880147213006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100"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</c:dLbls>
          <c:cat>
            <c:strRef>
              <c:f>List1!$A$2:$A$5</c:f>
              <c:strCache>
                <c:ptCount val="4"/>
                <c:pt idx="0">
                  <c:v>„reklamu bez omezení“</c:v>
                </c:pt>
                <c:pt idx="1">
                  <c:v>„jsem tolerantní, ale…“ </c:v>
                </c:pt>
                <c:pt idx="2">
                  <c:v>„reklamu regulovat”</c:v>
                </c:pt>
                <c:pt idx="3">
                  <c:v>„zakázat či jasně vymezit“ </c:v>
                </c:pt>
              </c:strCache>
            </c:strRef>
          </c:cat>
          <c:val>
            <c:numRef>
              <c:f>List1!$B$2:$B$5</c:f>
              <c:numCache>
                <c:formatCode>###0.0%</c:formatCode>
                <c:ptCount val="4"/>
                <c:pt idx="0">
                  <c:v>0.20099502487562218</c:v>
                </c:pt>
                <c:pt idx="1">
                  <c:v>0.24179104477611968</c:v>
                </c:pt>
                <c:pt idx="2">
                  <c:v>0.19701492537313434</c:v>
                </c:pt>
                <c:pt idx="3">
                  <c:v>0.36019900497512425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  <c:firstSliceAng val="0"/>
      </c:pieChart>
    </c:plotArea>
    <c:plotVisOnly val="1"/>
    <c:dispBlanksAs val="gap"/>
    <c:showDLblsOverMax val="0"/>
  </c:chart>
  <c:txPr>
    <a:bodyPr/>
    <a:lstStyle/>
    <a:p>
      <a:pPr>
        <a:defRPr sz="1200"/>
      </a:pPr>
      <a:endParaRPr lang="cs-CZ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pm factum">
    <a:dk1>
      <a:srgbClr val="595959"/>
    </a:dk1>
    <a:lt1>
      <a:srgbClr val="FFFFFF"/>
    </a:lt1>
    <a:dk2>
      <a:srgbClr val="333333"/>
    </a:dk2>
    <a:lt2>
      <a:srgbClr val="EAEAEA"/>
    </a:lt2>
    <a:accent1>
      <a:srgbClr val="5BB531"/>
    </a:accent1>
    <a:accent2>
      <a:srgbClr val="FFDC00"/>
    </a:accent2>
    <a:accent3>
      <a:srgbClr val="E9693C"/>
    </a:accent3>
    <a:accent4>
      <a:srgbClr val="B82928"/>
    </a:accent4>
    <a:accent5>
      <a:srgbClr val="623A3D"/>
    </a:accent5>
    <a:accent6>
      <a:srgbClr val="8B4A66"/>
    </a:accent6>
    <a:hlink>
      <a:srgbClr val="0000F3"/>
    </a:hlink>
    <a:folHlink>
      <a:srgbClr val="800080"/>
    </a:folHlink>
  </a:clrScheme>
  <a:fontScheme name="Kancelář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pm factum">
    <a:dk1>
      <a:srgbClr val="595959"/>
    </a:dk1>
    <a:lt1>
      <a:srgbClr val="FFFFFF"/>
    </a:lt1>
    <a:dk2>
      <a:srgbClr val="333333"/>
    </a:dk2>
    <a:lt2>
      <a:srgbClr val="EAEAEA"/>
    </a:lt2>
    <a:accent1>
      <a:srgbClr val="5BB531"/>
    </a:accent1>
    <a:accent2>
      <a:srgbClr val="FFDC00"/>
    </a:accent2>
    <a:accent3>
      <a:srgbClr val="E9693C"/>
    </a:accent3>
    <a:accent4>
      <a:srgbClr val="B82928"/>
    </a:accent4>
    <a:accent5>
      <a:srgbClr val="623A3D"/>
    </a:accent5>
    <a:accent6>
      <a:srgbClr val="8B4A66"/>
    </a:accent6>
    <a:hlink>
      <a:srgbClr val="0000F3"/>
    </a:hlink>
    <a:folHlink>
      <a:srgbClr val="800080"/>
    </a:folHlink>
  </a:clrScheme>
  <a:fontScheme name="Kancelář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pm factum">
    <a:dk1>
      <a:srgbClr val="595959"/>
    </a:dk1>
    <a:lt1>
      <a:srgbClr val="FFFFFF"/>
    </a:lt1>
    <a:dk2>
      <a:srgbClr val="333333"/>
    </a:dk2>
    <a:lt2>
      <a:srgbClr val="EAEAEA"/>
    </a:lt2>
    <a:accent1>
      <a:srgbClr val="5BB531"/>
    </a:accent1>
    <a:accent2>
      <a:srgbClr val="FFDC00"/>
    </a:accent2>
    <a:accent3>
      <a:srgbClr val="E9693C"/>
    </a:accent3>
    <a:accent4>
      <a:srgbClr val="B82928"/>
    </a:accent4>
    <a:accent5>
      <a:srgbClr val="623A3D"/>
    </a:accent5>
    <a:accent6>
      <a:srgbClr val="8B4A66"/>
    </a:accent6>
    <a:hlink>
      <a:srgbClr val="0000F3"/>
    </a:hlink>
    <a:folHlink>
      <a:srgbClr val="800080"/>
    </a:folHlink>
  </a:clrScheme>
  <a:fontScheme name="Kancelář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304C342-1A72-47A6-B0D2-86F9C96F6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780</Words>
  <Characters>4602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ppmfactum</Company>
  <LinksUpToDate>false</LinksUpToDate>
  <CharactersWithSpaces>5372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win</cp:lastModifiedBy>
  <cp:revision>3</cp:revision>
  <cp:lastPrinted>2009-02-12T09:26:00Z</cp:lastPrinted>
  <dcterms:created xsi:type="dcterms:W3CDTF">2015-03-02T13:48:00Z</dcterms:created>
  <dcterms:modified xsi:type="dcterms:W3CDTF">2015-03-02T13:49:00Z</dcterms:modified>
</cp:coreProperties>
</file>